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A05AD" w14:textId="03848DBA" w:rsidR="00BA2D76" w:rsidRPr="00BA2D76" w:rsidRDefault="00BA2D76" w:rsidP="00BA2D76">
      <w:pPr>
        <w:rPr>
          <w:b/>
          <w:sz w:val="36"/>
          <w:szCs w:val="36"/>
        </w:rPr>
      </w:pPr>
      <w:r w:rsidRPr="00BA2D76">
        <w:rPr>
          <w:b/>
          <w:sz w:val="36"/>
          <w:szCs w:val="36"/>
        </w:rPr>
        <w:t xml:space="preserve">4: Vermont Profile &amp; Hazard Assessment </w:t>
      </w:r>
    </w:p>
    <w:p w14:paraId="3ECA05AE" w14:textId="4304DB66" w:rsidR="00BA2D76" w:rsidRDefault="00BA2D76" w:rsidP="00BA2D76">
      <w:pPr>
        <w:pStyle w:val="TOC"/>
      </w:pPr>
      <w:r>
        <w:t xml:space="preserve">Vermont Profile </w:t>
      </w:r>
    </w:p>
    <w:p w14:paraId="3ECA05AF" w14:textId="77777777" w:rsidR="00BA2D76" w:rsidRPr="00BA2D76" w:rsidRDefault="00BA2D76" w:rsidP="00BA2D76">
      <w:pPr>
        <w:pStyle w:val="BasicParagraph"/>
        <w:rPr>
          <w:sz w:val="22"/>
        </w:rPr>
      </w:pPr>
      <w:r w:rsidRPr="00BA2D76">
        <w:rPr>
          <w:sz w:val="22"/>
        </w:rPr>
        <w:t xml:space="preserve">Vermont is located astride the Green Mountains at the center of three ranges of the Appalachians, with the Adirondacks to the west and the White Mountains to the east. Vermont encompasses 9,250 square miles of landmass. </w:t>
      </w:r>
    </w:p>
    <w:p w14:paraId="3ECA05B0" w14:textId="77777777" w:rsidR="00BA2D76" w:rsidRPr="00BA2D76" w:rsidRDefault="00BA2D76" w:rsidP="00BA2D76">
      <w:pPr>
        <w:pStyle w:val="BasicParagraph"/>
        <w:rPr>
          <w:sz w:val="22"/>
          <w:szCs w:val="22"/>
        </w:rPr>
      </w:pPr>
    </w:p>
    <w:p w14:paraId="3ECA05B1" w14:textId="77777777" w:rsidR="00BA2D76" w:rsidRPr="00BA2D76" w:rsidRDefault="00BA2D76" w:rsidP="00BA2D76">
      <w:pPr>
        <w:pStyle w:val="BasicParagraph"/>
        <w:rPr>
          <w:rStyle w:val="Heading31"/>
          <w:sz w:val="22"/>
          <w:szCs w:val="22"/>
        </w:rPr>
      </w:pPr>
      <w:r w:rsidRPr="00BA2D76">
        <w:rPr>
          <w:rStyle w:val="Heading31"/>
          <w:sz w:val="22"/>
          <w:szCs w:val="22"/>
        </w:rPr>
        <w:t xml:space="preserve">Population Trends:  </w:t>
      </w:r>
    </w:p>
    <w:p w14:paraId="3ECA05B2" w14:textId="77777777" w:rsidR="00BA2D76" w:rsidRPr="00BA2D76" w:rsidRDefault="00BA2D76" w:rsidP="00BA2D76">
      <w:pPr>
        <w:pStyle w:val="BasicParagraph"/>
        <w:rPr>
          <w:sz w:val="22"/>
          <w:szCs w:val="22"/>
        </w:rPr>
      </w:pPr>
    </w:p>
    <w:p w14:paraId="3ECA05B3" w14:textId="1F22F99E" w:rsidR="00BA2D76" w:rsidRPr="00BA2D76" w:rsidRDefault="30C2A27B" w:rsidP="00BA2D76">
      <w:pPr>
        <w:pStyle w:val="BasicParagraph"/>
        <w:rPr>
          <w:sz w:val="22"/>
          <w:szCs w:val="22"/>
        </w:rPr>
      </w:pPr>
      <w:r w:rsidRPr="6C02880B">
        <w:rPr>
          <w:sz w:val="22"/>
          <w:szCs w:val="22"/>
        </w:rPr>
        <w:t xml:space="preserve">Geographically, Vermont is the sixth smallest state and the second least populated. The population of Vermont was 625,741 based on the 2010 Census and is estimated to have </w:t>
      </w:r>
      <w:r w:rsidR="1AFE543E" w:rsidRPr="6C02880B">
        <w:rPr>
          <w:sz w:val="22"/>
          <w:szCs w:val="22"/>
        </w:rPr>
        <w:t xml:space="preserve">increased </w:t>
      </w:r>
      <w:r w:rsidRPr="6C02880B">
        <w:rPr>
          <w:sz w:val="22"/>
          <w:szCs w:val="22"/>
        </w:rPr>
        <w:t>to 6</w:t>
      </w:r>
      <w:r w:rsidR="200F84FC" w:rsidRPr="6C02880B">
        <w:rPr>
          <w:sz w:val="22"/>
          <w:szCs w:val="22"/>
        </w:rPr>
        <w:t>43</w:t>
      </w:r>
      <w:r w:rsidRPr="6C02880B">
        <w:rPr>
          <w:sz w:val="22"/>
          <w:szCs w:val="22"/>
        </w:rPr>
        <w:t>,</w:t>
      </w:r>
      <w:r w:rsidR="45FB1789" w:rsidRPr="6C02880B">
        <w:rPr>
          <w:sz w:val="22"/>
          <w:szCs w:val="22"/>
        </w:rPr>
        <w:t>077</w:t>
      </w:r>
      <w:r w:rsidRPr="6C02880B">
        <w:rPr>
          <w:sz w:val="22"/>
          <w:szCs w:val="22"/>
        </w:rPr>
        <w:t xml:space="preserve"> </w:t>
      </w:r>
      <w:r w:rsidR="3F2C7C72" w:rsidRPr="6C02880B">
        <w:rPr>
          <w:sz w:val="22"/>
          <w:szCs w:val="22"/>
        </w:rPr>
        <w:t>based on the 2020 Census</w:t>
      </w:r>
      <w:r w:rsidRPr="6C02880B">
        <w:rPr>
          <w:sz w:val="22"/>
          <w:szCs w:val="22"/>
        </w:rPr>
        <w:t>, a</w:t>
      </w:r>
      <w:r w:rsidR="01225571" w:rsidRPr="6C02880B">
        <w:rPr>
          <w:sz w:val="22"/>
          <w:szCs w:val="22"/>
        </w:rPr>
        <w:t>n increase</w:t>
      </w:r>
      <w:r w:rsidRPr="6C02880B">
        <w:rPr>
          <w:sz w:val="22"/>
          <w:szCs w:val="22"/>
        </w:rPr>
        <w:t xml:space="preserve"> of approximately </w:t>
      </w:r>
      <w:r w:rsidR="1A956731" w:rsidRPr="6C02880B">
        <w:rPr>
          <w:sz w:val="22"/>
          <w:szCs w:val="22"/>
        </w:rPr>
        <w:t>2</w:t>
      </w:r>
      <w:r w:rsidRPr="6C02880B">
        <w:rPr>
          <w:sz w:val="22"/>
          <w:szCs w:val="22"/>
        </w:rPr>
        <w:t>.</w:t>
      </w:r>
      <w:r w:rsidR="3A4EAB27" w:rsidRPr="6C02880B">
        <w:rPr>
          <w:sz w:val="22"/>
          <w:szCs w:val="22"/>
        </w:rPr>
        <w:t>77</w:t>
      </w:r>
      <w:r w:rsidRPr="6C02880B">
        <w:rPr>
          <w:sz w:val="22"/>
          <w:szCs w:val="22"/>
        </w:rPr>
        <w:t>%. As the maps below indicate (</w:t>
      </w:r>
      <w:r w:rsidRPr="00FF2403">
        <w:rPr>
          <w:sz w:val="22"/>
          <w:szCs w:val="22"/>
          <w:highlight w:val="yellow"/>
        </w:rPr>
        <w:t>Figures 17 &amp; 18</w:t>
      </w:r>
      <w:r w:rsidRPr="6C02880B">
        <w:rPr>
          <w:sz w:val="22"/>
          <w:szCs w:val="22"/>
        </w:rPr>
        <w:t>), there have been relatively minor changes in population statewide since 2010. Some counties have experienced slight gains (most notably Chittenden, +</w:t>
      </w:r>
      <w:r w:rsidR="663E4DF2" w:rsidRPr="6C02880B">
        <w:rPr>
          <w:sz w:val="22"/>
          <w:szCs w:val="22"/>
        </w:rPr>
        <w:t>11,778</w:t>
      </w:r>
      <w:r w:rsidRPr="6C02880B">
        <w:rPr>
          <w:sz w:val="22"/>
          <w:szCs w:val="22"/>
        </w:rPr>
        <w:t>), and other counties have experienced decreases (most notably Rutland, -1,</w:t>
      </w:r>
      <w:r w:rsidR="60140523" w:rsidRPr="6C02880B">
        <w:rPr>
          <w:sz w:val="22"/>
          <w:szCs w:val="22"/>
        </w:rPr>
        <w:t>070</w:t>
      </w:r>
      <w:r w:rsidRPr="6C02880B">
        <w:rPr>
          <w:sz w:val="22"/>
          <w:szCs w:val="22"/>
        </w:rPr>
        <w:t xml:space="preserve">). </w:t>
      </w:r>
    </w:p>
    <w:p w14:paraId="3ECA05B4" w14:textId="3692FEE7" w:rsidR="00BA2D76" w:rsidRPr="00BA2D76" w:rsidRDefault="00BA2D76" w:rsidP="00BA2D76">
      <w:pPr>
        <w:pStyle w:val="BasicParagraph"/>
        <w:rPr>
          <w:sz w:val="22"/>
          <w:szCs w:val="22"/>
        </w:rPr>
      </w:pPr>
    </w:p>
    <w:p w14:paraId="3ECA05B5" w14:textId="6B02C8D9" w:rsidR="00BA2D76" w:rsidRPr="00BA2D76" w:rsidRDefault="053069EC" w:rsidP="00BA2D76">
      <w:pPr>
        <w:pStyle w:val="BasicParagraph"/>
        <w:rPr>
          <w:sz w:val="22"/>
          <w:szCs w:val="22"/>
        </w:rPr>
      </w:pPr>
      <w:r w:rsidRPr="6C02880B">
        <w:rPr>
          <w:sz w:val="22"/>
          <w:szCs w:val="22"/>
        </w:rPr>
        <w:t>With a population density of approximately 69.78 persons per square mile, m</w:t>
      </w:r>
      <w:r w:rsidR="30C2A27B" w:rsidRPr="6C02880B">
        <w:rPr>
          <w:sz w:val="22"/>
          <w:szCs w:val="22"/>
        </w:rPr>
        <w:t xml:space="preserve">ost Vermonters live in small, rural communities with populations of several hundred to several thousand people. The largest city is Burlington, with a population of </w:t>
      </w:r>
      <w:r w:rsidR="5C118AE2" w:rsidRPr="6C02880B">
        <w:rPr>
          <w:sz w:val="22"/>
          <w:szCs w:val="22"/>
        </w:rPr>
        <w:t>44,743</w:t>
      </w:r>
      <w:r w:rsidR="30C2A27B" w:rsidRPr="6C02880B">
        <w:rPr>
          <w:sz w:val="22"/>
          <w:szCs w:val="22"/>
        </w:rPr>
        <w:t xml:space="preserve"> (20</w:t>
      </w:r>
      <w:r w:rsidR="2E184649" w:rsidRPr="6C02880B">
        <w:rPr>
          <w:sz w:val="22"/>
          <w:szCs w:val="22"/>
        </w:rPr>
        <w:t>20 Census</w:t>
      </w:r>
      <w:r w:rsidR="30C2A27B" w:rsidRPr="6C02880B">
        <w:rPr>
          <w:sz w:val="22"/>
          <w:szCs w:val="22"/>
        </w:rPr>
        <w:t xml:space="preserve">). </w:t>
      </w:r>
    </w:p>
    <w:p w14:paraId="119DBD1D" w14:textId="6C67E6AA" w:rsidR="6AB24916" w:rsidRDefault="6AB24916" w:rsidP="6AB24916">
      <w:pPr>
        <w:pStyle w:val="BasicParagraph"/>
        <w:rPr>
          <w:sz w:val="22"/>
          <w:szCs w:val="22"/>
        </w:rPr>
      </w:pPr>
    </w:p>
    <w:p w14:paraId="45D6E5E1" w14:textId="3A4DA68A" w:rsidR="00DA2B25" w:rsidRDefault="4769C005" w:rsidP="6AB24916">
      <w:pPr>
        <w:pStyle w:val="BasicParagraph"/>
        <w:rPr>
          <w:sz w:val="22"/>
          <w:szCs w:val="22"/>
        </w:rPr>
      </w:pPr>
      <w:r w:rsidRPr="6AB24916">
        <w:rPr>
          <w:sz w:val="22"/>
          <w:szCs w:val="22"/>
        </w:rPr>
        <w:t>A net increase in population of 4,864 w</w:t>
      </w:r>
      <w:r w:rsidR="572B5A72" w:rsidRPr="6AB24916">
        <w:rPr>
          <w:sz w:val="22"/>
          <w:szCs w:val="22"/>
        </w:rPr>
        <w:t>as recorded from July 2020 – July 2021, corresponding with the height of the COVID-19 pandemic</w:t>
      </w:r>
      <w:r w:rsidRPr="6AB24916">
        <w:rPr>
          <w:rStyle w:val="FootnoteReference"/>
          <w:sz w:val="22"/>
          <w:szCs w:val="22"/>
        </w:rPr>
        <w:footnoteReference w:id="2"/>
      </w:r>
      <w:r w:rsidR="2EC7584B" w:rsidRPr="6AB24916">
        <w:rPr>
          <w:sz w:val="22"/>
          <w:szCs w:val="22"/>
        </w:rPr>
        <w:t xml:space="preserve">. </w:t>
      </w:r>
      <w:r w:rsidR="74D73E32" w:rsidRPr="4CA3EB60">
        <w:rPr>
          <w:sz w:val="22"/>
          <w:szCs w:val="22"/>
        </w:rPr>
        <w:t>The 2020-21 influx represented a big change from before the pandemic. It followed a net loss in 2019 and totaled more than two and a half times the number of people arriving in 2018. Nearly 95 percent of the migration</w:t>
      </w:r>
      <w:r w:rsidR="004A3AF7">
        <w:rPr>
          <w:sz w:val="22"/>
          <w:szCs w:val="22"/>
        </w:rPr>
        <w:t xml:space="preserve"> to Vermont</w:t>
      </w:r>
      <w:r w:rsidR="74D73E32" w:rsidRPr="4CA3EB60">
        <w:rPr>
          <w:sz w:val="22"/>
          <w:szCs w:val="22"/>
        </w:rPr>
        <w:t xml:space="preserve"> came from within the U.S. The exception was Chittenden County, with a third of the newly settled coming from outside the country.</w:t>
      </w:r>
      <w:r w:rsidR="00060C56">
        <w:rPr>
          <w:sz w:val="22"/>
          <w:szCs w:val="22"/>
        </w:rPr>
        <w:t xml:space="preserve"> Several counties </w:t>
      </w:r>
      <w:r w:rsidR="00FC7CA5">
        <w:rPr>
          <w:sz w:val="22"/>
          <w:szCs w:val="22"/>
        </w:rPr>
        <w:t xml:space="preserve">across Vermont </w:t>
      </w:r>
      <w:r w:rsidR="00060C56">
        <w:rPr>
          <w:sz w:val="22"/>
          <w:szCs w:val="22"/>
        </w:rPr>
        <w:t xml:space="preserve">saw growth </w:t>
      </w:r>
      <w:r w:rsidR="00FC7CA5">
        <w:rPr>
          <w:sz w:val="22"/>
          <w:szCs w:val="22"/>
        </w:rPr>
        <w:t>in population,</w:t>
      </w:r>
      <w:r w:rsidR="00060C56">
        <w:rPr>
          <w:sz w:val="22"/>
          <w:szCs w:val="22"/>
        </w:rPr>
        <w:t xml:space="preserve"> </w:t>
      </w:r>
      <w:r w:rsidR="008264B0">
        <w:rPr>
          <w:sz w:val="22"/>
          <w:szCs w:val="22"/>
        </w:rPr>
        <w:t xml:space="preserve">including Grand Isle, Orange, </w:t>
      </w:r>
      <w:r w:rsidR="0003610A">
        <w:rPr>
          <w:sz w:val="22"/>
          <w:szCs w:val="22"/>
        </w:rPr>
        <w:t xml:space="preserve">Windsor, </w:t>
      </w:r>
      <w:r w:rsidR="0004249C">
        <w:rPr>
          <w:sz w:val="22"/>
          <w:szCs w:val="22"/>
        </w:rPr>
        <w:t>and Franklin</w:t>
      </w:r>
      <w:r w:rsidR="00AA5B06">
        <w:rPr>
          <w:sz w:val="22"/>
          <w:szCs w:val="22"/>
        </w:rPr>
        <w:t xml:space="preserve"> counties</w:t>
      </w:r>
      <w:r w:rsidR="0004249C">
        <w:rPr>
          <w:sz w:val="22"/>
          <w:szCs w:val="22"/>
        </w:rPr>
        <w:t xml:space="preserve">. </w:t>
      </w:r>
      <w:r w:rsidR="00293AF4">
        <w:rPr>
          <w:sz w:val="22"/>
          <w:szCs w:val="22"/>
        </w:rPr>
        <w:t xml:space="preserve">Addison, Rutland, and Bennington counties did not have an increase in population according to 2020-2021 census data. </w:t>
      </w:r>
    </w:p>
    <w:p w14:paraId="667F1127" w14:textId="77777777" w:rsidR="00AA5B06" w:rsidRDefault="00AA5B06" w:rsidP="6AB24916">
      <w:pPr>
        <w:pStyle w:val="BasicParagraph"/>
        <w:rPr>
          <w:sz w:val="22"/>
          <w:szCs w:val="22"/>
        </w:rPr>
      </w:pPr>
    </w:p>
    <w:p w14:paraId="6601788F" w14:textId="1F7E509B" w:rsidR="4769C005" w:rsidRDefault="645A4706" w:rsidP="6AB24916">
      <w:pPr>
        <w:pStyle w:val="BasicParagraph"/>
        <w:rPr>
          <w:sz w:val="22"/>
          <w:szCs w:val="22"/>
        </w:rPr>
      </w:pPr>
      <w:r w:rsidRPr="6AB24916">
        <w:rPr>
          <w:sz w:val="22"/>
          <w:szCs w:val="22"/>
        </w:rPr>
        <w:t xml:space="preserve">Vermont is experiencing an increase in population due to its climate resilience, as compared to other regions of the United States. </w:t>
      </w:r>
      <w:r w:rsidR="25014B6A" w:rsidRPr="6AB24916">
        <w:rPr>
          <w:sz w:val="22"/>
          <w:szCs w:val="22"/>
        </w:rPr>
        <w:t>The EPA has ranked Vermont fourth in a nationw</w:t>
      </w:r>
      <w:r w:rsidR="69346956" w:rsidRPr="6AB24916">
        <w:rPr>
          <w:sz w:val="22"/>
          <w:szCs w:val="22"/>
        </w:rPr>
        <w:t>ide assessment of resilience to extreme weather events brought on by climate change</w:t>
      </w:r>
      <w:r w:rsidR="4769C005" w:rsidRPr="0362EC81">
        <w:rPr>
          <w:rStyle w:val="FootnoteReference"/>
          <w:sz w:val="22"/>
          <w:szCs w:val="22"/>
        </w:rPr>
        <w:footnoteReference w:id="3"/>
      </w:r>
      <w:r w:rsidR="65DF7B11" w:rsidRPr="6AB24916">
        <w:rPr>
          <w:sz w:val="22"/>
          <w:szCs w:val="22"/>
        </w:rPr>
        <w:t xml:space="preserve">. </w:t>
      </w:r>
      <w:r w:rsidR="0D3A6CC7" w:rsidRPr="6AB24916">
        <w:rPr>
          <w:sz w:val="22"/>
          <w:szCs w:val="22"/>
        </w:rPr>
        <w:t>The authors of the 2014 State Climate Assessment</w:t>
      </w:r>
      <w:r w:rsidR="13A889A0" w:rsidRPr="6AB24916">
        <w:rPr>
          <w:sz w:val="22"/>
          <w:szCs w:val="22"/>
        </w:rPr>
        <w:t xml:space="preserve"> wrote that Vermont may become a receiving state for regional climate refugees</w:t>
      </w:r>
      <w:r w:rsidR="4769C005" w:rsidRPr="0362EC81">
        <w:rPr>
          <w:rStyle w:val="FootnoteReference"/>
          <w:sz w:val="22"/>
          <w:szCs w:val="22"/>
        </w:rPr>
        <w:footnoteReference w:id="4"/>
      </w:r>
      <w:r w:rsidR="206B01AC" w:rsidRPr="6AB24916">
        <w:rPr>
          <w:sz w:val="22"/>
          <w:szCs w:val="22"/>
        </w:rPr>
        <w:t>.</w:t>
      </w:r>
      <w:r w:rsidRPr="6AB24916">
        <w:rPr>
          <w:sz w:val="22"/>
          <w:szCs w:val="22"/>
        </w:rPr>
        <w:t xml:space="preserve"> </w:t>
      </w:r>
      <w:r w:rsidR="5C699C55" w:rsidRPr="6AB24916">
        <w:rPr>
          <w:sz w:val="22"/>
          <w:szCs w:val="22"/>
        </w:rPr>
        <w:t>Climate refugees are</w:t>
      </w:r>
      <w:r w:rsidR="0A059EA0" w:rsidRPr="6AB24916">
        <w:rPr>
          <w:sz w:val="22"/>
          <w:szCs w:val="22"/>
        </w:rPr>
        <w:t xml:space="preserve"> </w:t>
      </w:r>
      <w:r w:rsidR="5C699C55" w:rsidRPr="6AB24916">
        <w:rPr>
          <w:sz w:val="22"/>
          <w:szCs w:val="22"/>
        </w:rPr>
        <w:t>settling in Vermont to find more permanent and affordable housing</w:t>
      </w:r>
      <w:r w:rsidR="11298DAA" w:rsidRPr="6AB24916">
        <w:rPr>
          <w:sz w:val="22"/>
          <w:szCs w:val="22"/>
        </w:rPr>
        <w:t xml:space="preserve"> with a lower threat of relocation due to natural hazards</w:t>
      </w:r>
      <w:r w:rsidR="4769C005" w:rsidRPr="6AB24916">
        <w:rPr>
          <w:rStyle w:val="FootnoteReference"/>
          <w:sz w:val="22"/>
          <w:szCs w:val="22"/>
        </w:rPr>
        <w:footnoteReference w:id="5"/>
      </w:r>
      <w:r w:rsidR="1CBCB61F" w:rsidRPr="6AB24916">
        <w:rPr>
          <w:sz w:val="22"/>
          <w:szCs w:val="22"/>
        </w:rPr>
        <w:t>.</w:t>
      </w:r>
      <w:r w:rsidR="1933FA01" w:rsidRPr="6AB24916">
        <w:rPr>
          <w:sz w:val="22"/>
          <w:szCs w:val="22"/>
        </w:rPr>
        <w:t xml:space="preserve"> </w:t>
      </w:r>
      <w:r w:rsidR="5E792779" w:rsidRPr="6AB24916">
        <w:rPr>
          <w:sz w:val="22"/>
          <w:szCs w:val="22"/>
        </w:rPr>
        <w:t>With</w:t>
      </w:r>
      <w:r w:rsidR="6DDD7711" w:rsidRPr="6AB24916">
        <w:rPr>
          <w:sz w:val="22"/>
          <w:szCs w:val="22"/>
        </w:rPr>
        <w:t xml:space="preserve"> the potential for</w:t>
      </w:r>
      <w:r w:rsidR="5E792779" w:rsidRPr="6AB24916">
        <w:rPr>
          <w:sz w:val="22"/>
          <w:szCs w:val="22"/>
        </w:rPr>
        <w:t xml:space="preserve"> a high migration</w:t>
      </w:r>
      <w:r w:rsidR="619E21BA" w:rsidRPr="6AB24916">
        <w:rPr>
          <w:sz w:val="22"/>
          <w:szCs w:val="22"/>
        </w:rPr>
        <w:t xml:space="preserve"> rate</w:t>
      </w:r>
      <w:r w:rsidR="5E792779" w:rsidRPr="6AB24916">
        <w:rPr>
          <w:sz w:val="22"/>
          <w:szCs w:val="22"/>
        </w:rPr>
        <w:t xml:space="preserve"> into the </w:t>
      </w:r>
      <w:r w:rsidR="00600127">
        <w:rPr>
          <w:sz w:val="22"/>
          <w:szCs w:val="22"/>
        </w:rPr>
        <w:t>S</w:t>
      </w:r>
      <w:r w:rsidR="5E792779" w:rsidRPr="6AB24916">
        <w:rPr>
          <w:sz w:val="22"/>
          <w:szCs w:val="22"/>
        </w:rPr>
        <w:t xml:space="preserve">tate, </w:t>
      </w:r>
      <w:r w:rsidR="14293B6A" w:rsidRPr="6AB24916">
        <w:rPr>
          <w:sz w:val="22"/>
          <w:szCs w:val="22"/>
        </w:rPr>
        <w:t>Vermont</w:t>
      </w:r>
      <w:r w:rsidR="5E792779" w:rsidRPr="6AB24916">
        <w:rPr>
          <w:sz w:val="22"/>
          <w:szCs w:val="22"/>
        </w:rPr>
        <w:t xml:space="preserve"> must be able to provide resources such as housing </w:t>
      </w:r>
      <w:r w:rsidR="34E90402" w:rsidRPr="6AB24916">
        <w:rPr>
          <w:sz w:val="22"/>
          <w:szCs w:val="22"/>
        </w:rPr>
        <w:t>and career</w:t>
      </w:r>
      <w:r w:rsidR="2629F559" w:rsidRPr="6AB24916">
        <w:rPr>
          <w:sz w:val="22"/>
          <w:szCs w:val="22"/>
        </w:rPr>
        <w:t xml:space="preserve"> opportunitie</w:t>
      </w:r>
      <w:r w:rsidR="34E90402" w:rsidRPr="6AB24916">
        <w:rPr>
          <w:sz w:val="22"/>
          <w:szCs w:val="22"/>
        </w:rPr>
        <w:t>s to the new population, which puts pressure on existing and future development.</w:t>
      </w:r>
    </w:p>
    <w:p w14:paraId="4D1F08F4" w14:textId="77777777" w:rsidR="00312FB9" w:rsidRDefault="00312FB9" w:rsidP="6AB24916">
      <w:pPr>
        <w:pStyle w:val="BasicParagraph"/>
        <w:rPr>
          <w:sz w:val="22"/>
          <w:szCs w:val="22"/>
        </w:rPr>
      </w:pPr>
    </w:p>
    <w:p w14:paraId="3ECA05B6" w14:textId="77777777" w:rsidR="00BA2D76" w:rsidRPr="00BA2D76" w:rsidRDefault="00BA2D76" w:rsidP="00BA2D76">
      <w:pPr>
        <w:pStyle w:val="BasicParagraph"/>
        <w:rPr>
          <w:rStyle w:val="Heading31"/>
          <w:sz w:val="22"/>
          <w:szCs w:val="22"/>
        </w:rPr>
      </w:pPr>
    </w:p>
    <w:p w14:paraId="3ECA05B7" w14:textId="3A76FB24" w:rsidR="00BA2D76" w:rsidRPr="00BA2D76" w:rsidRDefault="00BA2D76" w:rsidP="00BA2D76">
      <w:pPr>
        <w:pStyle w:val="BasicParagraph"/>
        <w:rPr>
          <w:rStyle w:val="Heading31"/>
          <w:sz w:val="22"/>
          <w:szCs w:val="22"/>
        </w:rPr>
      </w:pPr>
      <w:r w:rsidRPr="00BA2D76">
        <w:rPr>
          <w:rStyle w:val="Heading31"/>
          <w:sz w:val="22"/>
          <w:szCs w:val="22"/>
        </w:rPr>
        <w:t>Development</w:t>
      </w:r>
      <w:r w:rsidR="00F30D68">
        <w:rPr>
          <w:rStyle w:val="Heading31"/>
          <w:sz w:val="22"/>
          <w:szCs w:val="22"/>
        </w:rPr>
        <w:t xml:space="preserve"> and Housing</w:t>
      </w:r>
      <w:r w:rsidRPr="00BA2D76">
        <w:rPr>
          <w:rStyle w:val="Heading31"/>
          <w:sz w:val="22"/>
          <w:szCs w:val="22"/>
        </w:rPr>
        <w:t xml:space="preserve"> Trends:  </w:t>
      </w:r>
    </w:p>
    <w:p w14:paraId="3ECA05B8" w14:textId="77777777" w:rsidR="00BA2D76" w:rsidRPr="00BA2D76" w:rsidRDefault="00BA2D76" w:rsidP="00BA2D76">
      <w:pPr>
        <w:pStyle w:val="BasicParagraph"/>
        <w:rPr>
          <w:sz w:val="22"/>
          <w:szCs w:val="22"/>
        </w:rPr>
      </w:pPr>
    </w:p>
    <w:p w14:paraId="3ECA05B9" w14:textId="46488C77" w:rsidR="00BA2D76" w:rsidRPr="00BA2D76" w:rsidRDefault="4CD4EBCB" w:rsidP="00BA2D76">
      <w:pPr>
        <w:pStyle w:val="BasicParagraph"/>
        <w:rPr>
          <w:sz w:val="22"/>
          <w:szCs w:val="22"/>
        </w:rPr>
      </w:pPr>
      <w:r w:rsidRPr="4CD4EBCB">
        <w:rPr>
          <w:sz w:val="22"/>
          <w:szCs w:val="22"/>
        </w:rPr>
        <w:t xml:space="preserve">Historically, communities and infrastructure have often been </w:t>
      </w:r>
      <w:proofErr w:type="spellStart"/>
      <w:r w:rsidRPr="4CD4EBCB">
        <w:rPr>
          <w:sz w:val="22"/>
          <w:szCs w:val="22"/>
        </w:rPr>
        <w:t>sited</w:t>
      </w:r>
      <w:proofErr w:type="spellEnd"/>
      <w:r w:rsidRPr="4CD4EBCB">
        <w:rPr>
          <w:sz w:val="22"/>
          <w:szCs w:val="22"/>
        </w:rPr>
        <w:t xml:space="preserve"> in valleys and near water bodies, both globally and in Vermont. This development pattern </w:t>
      </w:r>
      <w:proofErr w:type="gramStart"/>
      <w:r w:rsidRPr="4CD4EBCB">
        <w:rPr>
          <w:sz w:val="22"/>
          <w:szCs w:val="22"/>
        </w:rPr>
        <w:t>was based on the assumption</w:t>
      </w:r>
      <w:proofErr w:type="gramEnd"/>
      <w:r w:rsidRPr="4CD4EBCB">
        <w:rPr>
          <w:sz w:val="22"/>
          <w:szCs w:val="22"/>
        </w:rPr>
        <w:t xml:space="preserve"> that rivers and coastlines would not shift or change course, which in turn relied on an assumption that climate conditions would remain relatively static. Today, New England residents are living in a changing climate with increased precipitation and stronger storms that were predicted to increase in climate change models, and many communities find themselves and their infrastructure increasingly vulnerable to natural disasters like flooding. With the benefit of time, it is now understood that rivers and water bodies naturally adjust and change course, again threatening much of the infrastructure that lies in their path. </w:t>
      </w:r>
    </w:p>
    <w:p w14:paraId="5F93A1CA" w14:textId="38311DD1" w:rsidR="00BA2D76" w:rsidRPr="00BA2D76" w:rsidRDefault="00BA2D76" w:rsidP="6AB24916">
      <w:pPr>
        <w:pStyle w:val="BasicParagraph"/>
        <w:rPr>
          <w:sz w:val="22"/>
          <w:szCs w:val="22"/>
        </w:rPr>
      </w:pPr>
    </w:p>
    <w:p w14:paraId="3ECA05BA" w14:textId="1E183485" w:rsidR="00BA2D76" w:rsidRPr="00BA2D76" w:rsidRDefault="385BAA7A" w:rsidP="00BA2D76">
      <w:pPr>
        <w:pStyle w:val="BasicParagraph"/>
        <w:rPr>
          <w:sz w:val="22"/>
          <w:szCs w:val="22"/>
        </w:rPr>
      </w:pPr>
      <w:r w:rsidRPr="6AB24916">
        <w:rPr>
          <w:sz w:val="22"/>
          <w:szCs w:val="22"/>
        </w:rPr>
        <w:t>With current and projected increases in populations due to both the COVID-19 pandemic and climate migration, development plan</w:t>
      </w:r>
      <w:r w:rsidR="00AE4353">
        <w:rPr>
          <w:sz w:val="22"/>
          <w:szCs w:val="22"/>
        </w:rPr>
        <w:t>ning</w:t>
      </w:r>
      <w:r w:rsidRPr="6AB24916">
        <w:rPr>
          <w:sz w:val="22"/>
          <w:szCs w:val="22"/>
        </w:rPr>
        <w:t xml:space="preserve"> must account for expected growth </w:t>
      </w:r>
      <w:r w:rsidR="0D4E9C63" w:rsidRPr="6AB24916">
        <w:rPr>
          <w:sz w:val="22"/>
          <w:szCs w:val="22"/>
        </w:rPr>
        <w:t>while maintaining community values. The V</w:t>
      </w:r>
      <w:r w:rsidR="77DF306C" w:rsidRPr="6AB24916">
        <w:rPr>
          <w:sz w:val="22"/>
          <w:szCs w:val="22"/>
        </w:rPr>
        <w:t>T Climate Action Plan published in December 2021 urges cities and towns to follow a compact settlement pathway</w:t>
      </w:r>
      <w:r w:rsidR="00B55433">
        <w:rPr>
          <w:sz w:val="22"/>
          <w:szCs w:val="22"/>
        </w:rPr>
        <w:t xml:space="preserve">, following Vermont’s existing </w:t>
      </w:r>
      <w:r w:rsidR="00122D6F">
        <w:rPr>
          <w:sz w:val="22"/>
          <w:szCs w:val="22"/>
        </w:rPr>
        <w:t>village center development patterns</w:t>
      </w:r>
      <w:r w:rsidR="77DF306C" w:rsidRPr="6AB24916">
        <w:rPr>
          <w:sz w:val="22"/>
          <w:szCs w:val="22"/>
        </w:rPr>
        <w:t xml:space="preserve">. </w:t>
      </w:r>
      <w:r w:rsidR="663BAFA6" w:rsidRPr="6AB24916">
        <w:rPr>
          <w:sz w:val="22"/>
          <w:szCs w:val="22"/>
        </w:rPr>
        <w:t xml:space="preserve">Compact settlement refers to developing </w:t>
      </w:r>
      <w:r w:rsidR="1EF48B47" w:rsidRPr="6AB24916">
        <w:rPr>
          <w:sz w:val="22"/>
          <w:szCs w:val="22"/>
        </w:rPr>
        <w:t>within already urbanized centers, as opposed to uninhabited areas. Compact settle</w:t>
      </w:r>
      <w:r w:rsidR="10EBDA2E" w:rsidRPr="6AB24916">
        <w:rPr>
          <w:sz w:val="22"/>
          <w:szCs w:val="22"/>
        </w:rPr>
        <w:t>ment provides health, economic, and environmental benefits</w:t>
      </w:r>
      <w:r w:rsidR="1A7C805D" w:rsidRPr="6AB24916">
        <w:rPr>
          <w:sz w:val="22"/>
          <w:szCs w:val="22"/>
        </w:rPr>
        <w:t xml:space="preserve">. The structure provides a network of resources to community </w:t>
      </w:r>
      <w:r w:rsidR="00B25E0F" w:rsidRPr="6AB24916">
        <w:rPr>
          <w:sz w:val="22"/>
          <w:szCs w:val="22"/>
        </w:rPr>
        <w:t>members and</w:t>
      </w:r>
      <w:r w:rsidR="1A7C805D" w:rsidRPr="6AB24916">
        <w:rPr>
          <w:sz w:val="22"/>
          <w:szCs w:val="22"/>
        </w:rPr>
        <w:t xml:space="preserve"> protects the environment by preventing </w:t>
      </w:r>
      <w:r w:rsidR="26DF3CA9" w:rsidRPr="6AB24916">
        <w:rPr>
          <w:sz w:val="22"/>
          <w:szCs w:val="22"/>
        </w:rPr>
        <w:t>forest fragmentation</w:t>
      </w:r>
      <w:r w:rsidR="00BA2D76" w:rsidRPr="6AB24916">
        <w:rPr>
          <w:rStyle w:val="FootnoteReference"/>
          <w:sz w:val="22"/>
          <w:szCs w:val="22"/>
        </w:rPr>
        <w:footnoteReference w:id="6"/>
      </w:r>
      <w:r w:rsidR="5CDBC1BB" w:rsidRPr="6AB24916">
        <w:rPr>
          <w:sz w:val="22"/>
          <w:szCs w:val="22"/>
        </w:rPr>
        <w:t xml:space="preserve">. </w:t>
      </w:r>
      <w:r w:rsidR="5700E3EE" w:rsidRPr="6AB24916">
        <w:rPr>
          <w:sz w:val="22"/>
          <w:szCs w:val="22"/>
        </w:rPr>
        <w:t xml:space="preserve"> </w:t>
      </w:r>
    </w:p>
    <w:p w14:paraId="2D04E39F" w14:textId="28197EE5" w:rsidR="6AB24916" w:rsidRDefault="6AB24916" w:rsidP="6AB24916">
      <w:pPr>
        <w:pStyle w:val="BasicParagraph"/>
        <w:rPr>
          <w:sz w:val="22"/>
          <w:szCs w:val="22"/>
        </w:rPr>
      </w:pPr>
    </w:p>
    <w:p w14:paraId="3ECA05BB" w14:textId="2AE718DB" w:rsidR="00BA2D76" w:rsidRPr="00BA2D76" w:rsidRDefault="00C71EAC" w:rsidP="00BA2D76">
      <w:pPr>
        <w:pStyle w:val="BasicParagraph"/>
        <w:rPr>
          <w:sz w:val="22"/>
          <w:szCs w:val="22"/>
        </w:rPr>
      </w:pPr>
      <w:r>
        <w:rPr>
          <w:sz w:val="22"/>
          <w:szCs w:val="22"/>
        </w:rPr>
        <w:t xml:space="preserve">At the turn of the century Vermont experienced a </w:t>
      </w:r>
      <w:r w:rsidR="00B25E0F">
        <w:rPr>
          <w:sz w:val="22"/>
          <w:szCs w:val="22"/>
        </w:rPr>
        <w:t>development trend</w:t>
      </w:r>
      <w:r w:rsidR="008077EE">
        <w:rPr>
          <w:sz w:val="22"/>
          <w:szCs w:val="22"/>
        </w:rPr>
        <w:t xml:space="preserve"> that then tapered off </w:t>
      </w:r>
      <w:r w:rsidR="00A506E1">
        <w:rPr>
          <w:sz w:val="22"/>
          <w:szCs w:val="22"/>
        </w:rPr>
        <w:t xml:space="preserve">as </w:t>
      </w:r>
      <w:r w:rsidR="008D5D3E">
        <w:rPr>
          <w:sz w:val="22"/>
          <w:szCs w:val="22"/>
        </w:rPr>
        <w:t xml:space="preserve">rural </w:t>
      </w:r>
      <w:r w:rsidR="00A506E1">
        <w:rPr>
          <w:sz w:val="22"/>
          <w:szCs w:val="22"/>
        </w:rPr>
        <w:t>population growth stagnated</w:t>
      </w:r>
      <w:r w:rsidR="008D5D3E">
        <w:rPr>
          <w:sz w:val="22"/>
          <w:szCs w:val="22"/>
        </w:rPr>
        <w:t xml:space="preserve"> and decreased</w:t>
      </w:r>
      <w:r w:rsidR="00A506E1">
        <w:rPr>
          <w:sz w:val="22"/>
          <w:szCs w:val="22"/>
        </w:rPr>
        <w:t>.</w:t>
      </w:r>
      <w:r w:rsidR="008D5B84">
        <w:rPr>
          <w:sz w:val="22"/>
          <w:szCs w:val="22"/>
        </w:rPr>
        <w:t xml:space="preserve"> </w:t>
      </w:r>
      <w:r w:rsidR="30C2A27B" w:rsidRPr="4CA3EB60">
        <w:rPr>
          <w:sz w:val="22"/>
          <w:szCs w:val="22"/>
        </w:rPr>
        <w:t>Between 2000 and 2010, there w</w:t>
      </w:r>
      <w:r w:rsidR="3AC3D35C" w:rsidRPr="4CA3EB60">
        <w:rPr>
          <w:sz w:val="22"/>
          <w:szCs w:val="22"/>
        </w:rPr>
        <w:t>as</w:t>
      </w:r>
      <w:r w:rsidR="30C2A27B" w:rsidRPr="4CA3EB60">
        <w:rPr>
          <w:sz w:val="22"/>
          <w:szCs w:val="22"/>
        </w:rPr>
        <w:t xml:space="preserve"> a total net increase of 28,157 housing units statewide</w:t>
      </w:r>
      <w:r w:rsidR="7953CEEB" w:rsidRPr="4CA3EB60">
        <w:rPr>
          <w:sz w:val="22"/>
          <w:szCs w:val="22"/>
        </w:rPr>
        <w:t>, compared to</w:t>
      </w:r>
      <w:r w:rsidR="30C2A27B" w:rsidRPr="4CA3EB60">
        <w:rPr>
          <w:sz w:val="22"/>
          <w:szCs w:val="22"/>
        </w:rPr>
        <w:t xml:space="preserve"> the </w:t>
      </w:r>
      <w:r w:rsidR="7953CEEB" w:rsidRPr="4CA3EB60">
        <w:rPr>
          <w:sz w:val="22"/>
          <w:szCs w:val="22"/>
        </w:rPr>
        <w:t>following decade</w:t>
      </w:r>
      <w:r w:rsidR="2834201E" w:rsidRPr="4CA3EB60">
        <w:rPr>
          <w:sz w:val="22"/>
          <w:szCs w:val="22"/>
        </w:rPr>
        <w:t xml:space="preserve"> 2010-2020</w:t>
      </w:r>
      <w:r w:rsidR="0652C764" w:rsidRPr="4CA3EB60">
        <w:rPr>
          <w:sz w:val="22"/>
          <w:szCs w:val="22"/>
        </w:rPr>
        <w:t xml:space="preserve"> </w:t>
      </w:r>
      <w:r w:rsidR="7953CEEB" w:rsidRPr="4CA3EB60">
        <w:rPr>
          <w:sz w:val="22"/>
          <w:szCs w:val="22"/>
        </w:rPr>
        <w:t>with a total net increase of 11,779</w:t>
      </w:r>
      <w:r w:rsidR="682BC846" w:rsidRPr="4CA3EB60">
        <w:rPr>
          <w:sz w:val="22"/>
          <w:szCs w:val="22"/>
        </w:rPr>
        <w:t xml:space="preserve"> units</w:t>
      </w:r>
      <w:r w:rsidR="30C2A27B" w:rsidRPr="4CA3EB60">
        <w:rPr>
          <w:sz w:val="22"/>
          <w:szCs w:val="22"/>
        </w:rPr>
        <w:t xml:space="preserve">. </w:t>
      </w:r>
      <w:r w:rsidR="1F5E6A0F" w:rsidRPr="4CA3EB60">
        <w:rPr>
          <w:sz w:val="22"/>
          <w:szCs w:val="22"/>
        </w:rPr>
        <w:t xml:space="preserve">This statistic shows a substantial decrease in net development trends between two decades, but the pandemic and climate migration could potentially </w:t>
      </w:r>
      <w:r w:rsidR="4C80EEF3" w:rsidRPr="4CA3EB60">
        <w:rPr>
          <w:sz w:val="22"/>
          <w:szCs w:val="22"/>
        </w:rPr>
        <w:t xml:space="preserve">alter </w:t>
      </w:r>
      <w:r w:rsidR="2D7A0FAF" w:rsidRPr="4CA3EB60">
        <w:rPr>
          <w:sz w:val="22"/>
          <w:szCs w:val="22"/>
        </w:rPr>
        <w:t xml:space="preserve">this pattern. </w:t>
      </w:r>
      <w:r w:rsidR="7B2E94AA" w:rsidRPr="4CA3EB60">
        <w:rPr>
          <w:sz w:val="22"/>
          <w:szCs w:val="22"/>
        </w:rPr>
        <w:t>Vermont saw the most substantial increase in population in the last decade with almost 5,000 people moving into the state from 2020-</w:t>
      </w:r>
      <w:r w:rsidR="0CFD14CF" w:rsidRPr="4CA3EB60">
        <w:rPr>
          <w:sz w:val="22"/>
          <w:szCs w:val="22"/>
        </w:rPr>
        <w:t>2021, which could be attributed to remote work, and an interest in the Vermont lifestyle</w:t>
      </w:r>
      <w:r w:rsidR="30C2A27B" w:rsidRPr="4CA3EB60">
        <w:rPr>
          <w:rStyle w:val="FootnoteReference"/>
          <w:sz w:val="22"/>
          <w:szCs w:val="22"/>
        </w:rPr>
        <w:footnoteReference w:id="7"/>
      </w:r>
      <w:r w:rsidR="4C8785CC" w:rsidRPr="4CA3EB60">
        <w:rPr>
          <w:sz w:val="22"/>
          <w:szCs w:val="22"/>
        </w:rPr>
        <w:t xml:space="preserve">. </w:t>
      </w:r>
      <w:r w:rsidR="2D7A0FAF" w:rsidRPr="4CA3EB60">
        <w:rPr>
          <w:sz w:val="22"/>
          <w:szCs w:val="22"/>
        </w:rPr>
        <w:t>With an increase in population comes an increased demand for housing</w:t>
      </w:r>
      <w:r w:rsidR="03574AB6" w:rsidRPr="4CA3EB60">
        <w:rPr>
          <w:sz w:val="22"/>
          <w:szCs w:val="22"/>
        </w:rPr>
        <w:t>.</w:t>
      </w:r>
      <w:r w:rsidR="4C80EEF3" w:rsidRPr="4CA3EB60">
        <w:rPr>
          <w:sz w:val="22"/>
          <w:szCs w:val="22"/>
        </w:rPr>
        <w:t xml:space="preserve"> </w:t>
      </w:r>
      <w:proofErr w:type="gramStart"/>
      <w:r w:rsidR="270BF2D6" w:rsidRPr="4CA3EB60">
        <w:rPr>
          <w:sz w:val="22"/>
          <w:szCs w:val="22"/>
        </w:rPr>
        <w:t>I</w:t>
      </w:r>
      <w:r w:rsidR="209111A2" w:rsidRPr="4CA3EB60">
        <w:rPr>
          <w:sz w:val="22"/>
          <w:szCs w:val="22"/>
        </w:rPr>
        <w:t xml:space="preserve">n </w:t>
      </w:r>
      <w:r w:rsidR="3525A3B9" w:rsidRPr="4CA3EB60">
        <w:rPr>
          <w:sz w:val="22"/>
          <w:szCs w:val="22"/>
        </w:rPr>
        <w:t xml:space="preserve">comparing the 2017 and 2021 ACS estimates, </w:t>
      </w:r>
      <w:r w:rsidR="6327C7B5" w:rsidRPr="4CA3EB60">
        <w:rPr>
          <w:sz w:val="22"/>
          <w:szCs w:val="22"/>
        </w:rPr>
        <w:t>there</w:t>
      </w:r>
      <w:proofErr w:type="gramEnd"/>
      <w:r w:rsidR="6327C7B5" w:rsidRPr="4CA3EB60">
        <w:rPr>
          <w:sz w:val="22"/>
          <w:szCs w:val="22"/>
        </w:rPr>
        <w:t xml:space="preserve"> has been a net increase of 2,413 housing units</w:t>
      </w:r>
      <w:r w:rsidR="1F715E96" w:rsidRPr="4CA3EB60">
        <w:rPr>
          <w:sz w:val="22"/>
          <w:szCs w:val="22"/>
        </w:rPr>
        <w:t>, which could partially represent the population trends associated with COVID-19 and climate change</w:t>
      </w:r>
      <w:r w:rsidR="50152DB9" w:rsidRPr="4CA3EB60">
        <w:rPr>
          <w:sz w:val="22"/>
          <w:szCs w:val="22"/>
        </w:rPr>
        <w:t>.</w:t>
      </w:r>
      <w:r w:rsidR="6E138210" w:rsidRPr="4CA3EB60">
        <w:rPr>
          <w:sz w:val="22"/>
          <w:szCs w:val="22"/>
        </w:rPr>
        <w:t xml:space="preserve"> </w:t>
      </w:r>
      <w:r w:rsidR="31165DDE" w:rsidRPr="4CA3EB60">
        <w:rPr>
          <w:sz w:val="22"/>
          <w:szCs w:val="22"/>
        </w:rPr>
        <w:t xml:space="preserve">However, it is important to consider that people may move into </w:t>
      </w:r>
      <w:r w:rsidR="038A21D4" w:rsidRPr="4CA3EB60">
        <w:rPr>
          <w:sz w:val="22"/>
          <w:szCs w:val="22"/>
        </w:rPr>
        <w:t>existing home</w:t>
      </w:r>
      <w:r w:rsidR="00014C2B">
        <w:rPr>
          <w:sz w:val="22"/>
          <w:szCs w:val="22"/>
        </w:rPr>
        <w:t>s, temporarily living in second homes</w:t>
      </w:r>
      <w:r w:rsidR="008C7544">
        <w:rPr>
          <w:sz w:val="22"/>
          <w:szCs w:val="22"/>
        </w:rPr>
        <w:t>,</w:t>
      </w:r>
      <w:r w:rsidR="00014C2B">
        <w:rPr>
          <w:sz w:val="22"/>
          <w:szCs w:val="22"/>
        </w:rPr>
        <w:t xml:space="preserve"> </w:t>
      </w:r>
      <w:r w:rsidR="008C7544">
        <w:rPr>
          <w:sz w:val="22"/>
          <w:szCs w:val="22"/>
        </w:rPr>
        <w:t>or staying</w:t>
      </w:r>
      <w:r w:rsidR="00014C2B">
        <w:rPr>
          <w:sz w:val="22"/>
          <w:szCs w:val="22"/>
        </w:rPr>
        <w:t xml:space="preserve"> with family</w:t>
      </w:r>
      <w:r w:rsidR="038A21D4" w:rsidRPr="4CA3EB60">
        <w:rPr>
          <w:sz w:val="22"/>
          <w:szCs w:val="22"/>
        </w:rPr>
        <w:t xml:space="preserve">. </w:t>
      </w:r>
      <w:r w:rsidR="009668BF">
        <w:rPr>
          <w:sz w:val="22"/>
          <w:szCs w:val="22"/>
        </w:rPr>
        <w:t>Many communities in Vermont have a high percentage of second homes with their owners living elsewhere for most the year.</w:t>
      </w:r>
      <w:r w:rsidR="4A4A9F20" w:rsidRPr="4CA3EB60">
        <w:rPr>
          <w:sz w:val="22"/>
          <w:szCs w:val="22"/>
        </w:rPr>
        <w:t xml:space="preserve"> A</w:t>
      </w:r>
      <w:r w:rsidR="15387EF8" w:rsidRPr="4CA3EB60">
        <w:rPr>
          <w:sz w:val="22"/>
          <w:szCs w:val="22"/>
        </w:rPr>
        <w:t xml:space="preserve">ccording to a survey </w:t>
      </w:r>
      <w:r w:rsidR="72EE86AD" w:rsidRPr="4CA3EB60">
        <w:rPr>
          <w:sz w:val="22"/>
          <w:szCs w:val="22"/>
        </w:rPr>
        <w:t xml:space="preserve">on climate refugees in Vermont </w:t>
      </w:r>
      <w:r w:rsidR="15387EF8" w:rsidRPr="4CA3EB60">
        <w:rPr>
          <w:sz w:val="22"/>
          <w:szCs w:val="22"/>
        </w:rPr>
        <w:t xml:space="preserve">conducted through the University of Vermont, 44 out of 232 participants </w:t>
      </w:r>
      <w:r w:rsidR="0FC4E360" w:rsidRPr="4CA3EB60">
        <w:rPr>
          <w:sz w:val="22"/>
          <w:szCs w:val="22"/>
        </w:rPr>
        <w:t>stated they purchased a home in Vermont as their second home</w:t>
      </w:r>
      <w:r w:rsidR="30C2A27B" w:rsidRPr="4CA3EB60">
        <w:rPr>
          <w:rStyle w:val="FootnoteReference"/>
          <w:sz w:val="22"/>
          <w:szCs w:val="22"/>
        </w:rPr>
        <w:footnoteReference w:id="8"/>
      </w:r>
      <w:r w:rsidR="5CEBF710" w:rsidRPr="4CA3EB60">
        <w:rPr>
          <w:sz w:val="22"/>
          <w:szCs w:val="22"/>
        </w:rPr>
        <w:t>.</w:t>
      </w:r>
    </w:p>
    <w:p w14:paraId="3ECA05BC" w14:textId="77777777" w:rsidR="00BA2D76" w:rsidRPr="00BA2D76" w:rsidRDefault="00BA2D76" w:rsidP="00BA2D76">
      <w:pPr>
        <w:pStyle w:val="BasicParagraph"/>
        <w:rPr>
          <w:sz w:val="22"/>
          <w:szCs w:val="22"/>
        </w:rPr>
      </w:pPr>
    </w:p>
    <w:p w14:paraId="3ECA05BD" w14:textId="16887F42" w:rsidR="00BA2D76" w:rsidRPr="00BA2D76" w:rsidRDefault="4CD4EBCB" w:rsidP="00BA2D76">
      <w:pPr>
        <w:pStyle w:val="BasicParagraph"/>
        <w:rPr>
          <w:sz w:val="22"/>
          <w:szCs w:val="22"/>
        </w:rPr>
      </w:pPr>
      <w:r w:rsidRPr="4CD4EBCB">
        <w:rPr>
          <w:sz w:val="22"/>
          <w:szCs w:val="22"/>
        </w:rPr>
        <w:t>A review of all Local Hazard Mitigation Plans shows that the vast majority of communities report very little development, if any, since the 201</w:t>
      </w:r>
      <w:r w:rsidR="000D2914">
        <w:rPr>
          <w:sz w:val="22"/>
          <w:szCs w:val="22"/>
        </w:rPr>
        <w:t>8</w:t>
      </w:r>
      <w:r w:rsidRPr="4CD4EBCB">
        <w:rPr>
          <w:sz w:val="22"/>
          <w:szCs w:val="22"/>
        </w:rPr>
        <w:t xml:space="preserve"> State Hazard Mitigation Plan and that vulnerability has remained the same and is not projected to change. To get a better understanding of local development, VEM staff asked Regional Planning Commissions (RPCs) to note significant changes in development trends within their regions over the past five years and their impact on vulnerability, included in Table </w:t>
      </w:r>
      <w:r w:rsidRPr="00293A9C">
        <w:rPr>
          <w:sz w:val="22"/>
          <w:szCs w:val="22"/>
          <w:highlight w:val="yellow"/>
        </w:rPr>
        <w:t>12</w:t>
      </w:r>
      <w:r w:rsidRPr="4CD4EBCB">
        <w:rPr>
          <w:sz w:val="22"/>
          <w:szCs w:val="22"/>
        </w:rPr>
        <w:t xml:space="preserve"> below. Regions reporting no significant changes in development are not included. </w:t>
      </w:r>
    </w:p>
    <w:p w14:paraId="3ECA05BE" w14:textId="77777777" w:rsidR="00BA2D76" w:rsidRPr="00BA2D76" w:rsidRDefault="00BA2D76" w:rsidP="00BA2D76">
      <w:pPr>
        <w:pStyle w:val="BasicParagraph"/>
        <w:rPr>
          <w:sz w:val="22"/>
          <w:szCs w:val="22"/>
        </w:rPr>
      </w:pPr>
    </w:p>
    <w:p w14:paraId="3ECA05BF" w14:textId="1ABE5D6C" w:rsidR="00BA2D76" w:rsidRDefault="00BA2D76" w:rsidP="00BA2D76">
      <w:pPr>
        <w:pStyle w:val="BasicParagraph"/>
        <w:rPr>
          <w:sz w:val="22"/>
          <w:szCs w:val="22"/>
        </w:rPr>
      </w:pPr>
      <w:r w:rsidRPr="4CA3EB60">
        <w:rPr>
          <w:sz w:val="22"/>
          <w:szCs w:val="22"/>
        </w:rPr>
        <w:t xml:space="preserve">In addition to the feedback from RPCs, several communities were added to Table </w:t>
      </w:r>
      <w:r w:rsidRPr="00293A9C">
        <w:rPr>
          <w:sz w:val="22"/>
          <w:szCs w:val="22"/>
          <w:highlight w:val="yellow"/>
        </w:rPr>
        <w:t>12</w:t>
      </w:r>
      <w:r w:rsidRPr="4CA3EB60">
        <w:rPr>
          <w:sz w:val="22"/>
          <w:szCs w:val="22"/>
        </w:rPr>
        <w:t xml:space="preserve"> below based on the review of currently approved LHMPs (for more information on this review process, see: </w:t>
      </w:r>
      <w:r w:rsidRPr="4CA3EB60">
        <w:rPr>
          <w:rStyle w:val="Hyperlink"/>
          <w:sz w:val="22"/>
          <w:szCs w:val="22"/>
        </w:rPr>
        <w:t>State &amp; Local Capabilities</w:t>
      </w:r>
      <w:r w:rsidRPr="4CA3EB60">
        <w:rPr>
          <w:sz w:val="22"/>
          <w:szCs w:val="22"/>
        </w:rPr>
        <w:t>). Predominately, LHMPs report that little, if any, development has taken place since their previous Plan and that vulnerability has remained the same and is not projected to change.</w:t>
      </w:r>
      <w:r w:rsidR="73FF6173" w:rsidRPr="4CA3EB60">
        <w:rPr>
          <w:sz w:val="22"/>
          <w:szCs w:val="22"/>
        </w:rPr>
        <w:t xml:space="preserve"> </w:t>
      </w:r>
      <w:r w:rsidRPr="4CA3EB60">
        <w:rPr>
          <w:sz w:val="22"/>
          <w:szCs w:val="22"/>
        </w:rPr>
        <w:t xml:space="preserve"> </w:t>
      </w:r>
    </w:p>
    <w:p w14:paraId="3ECA05C0" w14:textId="77777777" w:rsidR="00BA2D76" w:rsidRDefault="00BA2D76" w:rsidP="00BA2D76">
      <w:pPr>
        <w:pStyle w:val="BasicParagraph"/>
        <w:rPr>
          <w:sz w:val="22"/>
          <w:szCs w:val="22"/>
          <w:u w:color="FFF100"/>
        </w:rPr>
      </w:pPr>
    </w:p>
    <w:tbl>
      <w:tblPr>
        <w:tblW w:w="9900" w:type="dxa"/>
        <w:tblInd w:w="-10" w:type="dxa"/>
        <w:tblLayout w:type="fixed"/>
        <w:tblCellMar>
          <w:left w:w="0" w:type="dxa"/>
          <w:right w:w="0" w:type="dxa"/>
        </w:tblCellMar>
        <w:tblLook w:val="0000" w:firstRow="0" w:lastRow="0" w:firstColumn="0" w:lastColumn="0" w:noHBand="0" w:noVBand="0"/>
      </w:tblPr>
      <w:tblGrid>
        <w:gridCol w:w="796"/>
        <w:gridCol w:w="1930"/>
        <w:gridCol w:w="7174"/>
      </w:tblGrid>
      <w:tr w:rsidR="00BA2D76" w14:paraId="3ECA05C2" w14:textId="77777777" w:rsidTr="6C02880B">
        <w:trPr>
          <w:trHeight w:val="25"/>
        </w:trPr>
        <w:tc>
          <w:tcPr>
            <w:tcW w:w="9900" w:type="dxa"/>
            <w:gridSpan w:val="3"/>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6F6F6F"/>
            <w:tcMar>
              <w:top w:w="80" w:type="dxa"/>
              <w:left w:w="80" w:type="dxa"/>
              <w:bottom w:w="80" w:type="dxa"/>
              <w:right w:w="80" w:type="dxa"/>
            </w:tcMar>
          </w:tcPr>
          <w:p w14:paraId="3ECA05C1" w14:textId="77777777" w:rsidR="00BA2D76" w:rsidRPr="00BA2D76" w:rsidRDefault="00BA2D76" w:rsidP="00BA2D76">
            <w:pPr>
              <w:pStyle w:val="Tables"/>
              <w:spacing w:line="240" w:lineRule="auto"/>
              <w:contextualSpacing/>
              <w:rPr>
                <w:sz w:val="20"/>
                <w:szCs w:val="20"/>
              </w:rPr>
            </w:pPr>
            <w:r w:rsidRPr="00BA2D76">
              <w:rPr>
                <w:b/>
                <w:bCs/>
                <w:sz w:val="20"/>
                <w:szCs w:val="20"/>
              </w:rPr>
              <w:t xml:space="preserve">Table </w:t>
            </w:r>
            <w:r w:rsidRPr="00293A9C">
              <w:rPr>
                <w:b/>
                <w:bCs/>
                <w:sz w:val="20"/>
                <w:szCs w:val="20"/>
                <w:highlight w:val="yellow"/>
              </w:rPr>
              <w:t>12</w:t>
            </w:r>
            <w:r w:rsidRPr="00BA2D76">
              <w:rPr>
                <w:b/>
                <w:bCs/>
                <w:sz w:val="20"/>
                <w:szCs w:val="20"/>
              </w:rPr>
              <w:t>: Changes in Development by Region</w:t>
            </w:r>
          </w:p>
        </w:tc>
      </w:tr>
      <w:tr w:rsidR="00BA2D76" w14:paraId="3ECA05C6" w14:textId="77777777" w:rsidTr="6C02880B">
        <w:trPr>
          <w:trHeight w:val="25"/>
        </w:trPr>
        <w:tc>
          <w:tcPr>
            <w:tcW w:w="79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DEDE"/>
            <w:tcMar>
              <w:top w:w="80" w:type="dxa"/>
              <w:left w:w="80" w:type="dxa"/>
              <w:bottom w:w="80" w:type="dxa"/>
              <w:right w:w="80" w:type="dxa"/>
            </w:tcMar>
          </w:tcPr>
          <w:p w14:paraId="3ECA05C3" w14:textId="77777777" w:rsidR="00BA2D76" w:rsidRPr="00BA2D76" w:rsidRDefault="00BA2D76" w:rsidP="00BA2D76">
            <w:pPr>
              <w:pStyle w:val="BasicParagraph"/>
              <w:spacing w:line="240" w:lineRule="auto"/>
              <w:contextualSpacing/>
              <w:rPr>
                <w:sz w:val="20"/>
                <w:szCs w:val="20"/>
              </w:rPr>
            </w:pPr>
            <w:r w:rsidRPr="00BA2D76">
              <w:rPr>
                <w:b/>
                <w:bCs/>
                <w:sz w:val="20"/>
                <w:szCs w:val="20"/>
              </w:rPr>
              <w:t>Region</w:t>
            </w:r>
          </w:p>
        </w:tc>
        <w:tc>
          <w:tcPr>
            <w:tcW w:w="19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DEDE"/>
            <w:tcMar>
              <w:top w:w="80" w:type="dxa"/>
              <w:left w:w="80" w:type="dxa"/>
              <w:bottom w:w="80" w:type="dxa"/>
              <w:right w:w="80" w:type="dxa"/>
            </w:tcMar>
          </w:tcPr>
          <w:p w14:paraId="3ECA05C4" w14:textId="052DC2C1" w:rsidR="00BA2D76" w:rsidRPr="00BA2D76" w:rsidRDefault="30C2A27B" w:rsidP="00BA2D76">
            <w:pPr>
              <w:pStyle w:val="BasicParagraph"/>
              <w:spacing w:line="240" w:lineRule="auto"/>
              <w:contextualSpacing/>
              <w:rPr>
                <w:sz w:val="20"/>
                <w:szCs w:val="20"/>
              </w:rPr>
            </w:pPr>
            <w:r w:rsidRPr="6C02880B">
              <w:rPr>
                <w:b/>
                <w:bCs/>
                <w:sz w:val="20"/>
                <w:szCs w:val="20"/>
              </w:rPr>
              <w:t>Muni</w:t>
            </w:r>
            <w:r w:rsidR="57A05871" w:rsidRPr="6C02880B">
              <w:rPr>
                <w:b/>
                <w:bCs/>
                <w:sz w:val="20"/>
                <w:szCs w:val="20"/>
              </w:rPr>
              <w:t>ci</w:t>
            </w:r>
            <w:r w:rsidRPr="6C02880B">
              <w:rPr>
                <w:b/>
                <w:bCs/>
                <w:sz w:val="20"/>
                <w:szCs w:val="20"/>
              </w:rPr>
              <w:t>pality</w:t>
            </w:r>
          </w:p>
        </w:tc>
        <w:tc>
          <w:tcPr>
            <w:tcW w:w="717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DEDE"/>
            <w:tcMar>
              <w:top w:w="80" w:type="dxa"/>
              <w:left w:w="80" w:type="dxa"/>
              <w:bottom w:w="80" w:type="dxa"/>
              <w:right w:w="80" w:type="dxa"/>
            </w:tcMar>
          </w:tcPr>
          <w:p w14:paraId="3ECA05C5" w14:textId="77777777" w:rsidR="00BA2D76" w:rsidRPr="00BA2D76" w:rsidRDefault="00BA2D76" w:rsidP="00BA2D76">
            <w:pPr>
              <w:pStyle w:val="BasicParagraph"/>
              <w:spacing w:line="240" w:lineRule="auto"/>
              <w:contextualSpacing/>
              <w:rPr>
                <w:sz w:val="20"/>
                <w:szCs w:val="20"/>
              </w:rPr>
            </w:pPr>
            <w:r w:rsidRPr="00BA2D76">
              <w:rPr>
                <w:b/>
                <w:bCs/>
                <w:sz w:val="20"/>
                <w:szCs w:val="20"/>
              </w:rPr>
              <w:t>Changes in Development &amp; Vulnerability</w:t>
            </w:r>
          </w:p>
        </w:tc>
      </w:tr>
      <w:tr w:rsidR="00BA2D76" w14:paraId="3ECA05CA" w14:textId="77777777" w:rsidTr="6C02880B">
        <w:trPr>
          <w:trHeight w:val="25"/>
        </w:trPr>
        <w:tc>
          <w:tcPr>
            <w:tcW w:w="79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DEDE"/>
            <w:tcMar>
              <w:top w:w="80" w:type="dxa"/>
              <w:left w:w="80" w:type="dxa"/>
              <w:bottom w:w="80" w:type="dxa"/>
              <w:right w:w="80" w:type="dxa"/>
            </w:tcMar>
          </w:tcPr>
          <w:p w14:paraId="3ECA05C7" w14:textId="77777777" w:rsidR="00BA2D76" w:rsidRPr="00BA2D76" w:rsidRDefault="00BA2D76" w:rsidP="00BA2D76">
            <w:pPr>
              <w:pStyle w:val="BasicParagraph"/>
              <w:spacing w:line="240" w:lineRule="auto"/>
              <w:contextualSpacing/>
              <w:rPr>
                <w:sz w:val="20"/>
                <w:szCs w:val="20"/>
              </w:rPr>
            </w:pPr>
            <w:r w:rsidRPr="00BA2D76">
              <w:rPr>
                <w:sz w:val="20"/>
                <w:szCs w:val="20"/>
              </w:rPr>
              <w:t>ACRPC</w:t>
            </w:r>
          </w:p>
        </w:tc>
        <w:tc>
          <w:tcPr>
            <w:tcW w:w="19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DEDE"/>
            <w:tcMar>
              <w:top w:w="80" w:type="dxa"/>
              <w:left w:w="80" w:type="dxa"/>
              <w:bottom w:w="80" w:type="dxa"/>
              <w:right w:w="80" w:type="dxa"/>
            </w:tcMar>
          </w:tcPr>
          <w:p w14:paraId="3ECA05C8" w14:textId="77777777" w:rsidR="00BA2D76" w:rsidRPr="00BA2D76" w:rsidRDefault="00BA2D76" w:rsidP="00BA2D76">
            <w:pPr>
              <w:pStyle w:val="BasicParagraph"/>
              <w:spacing w:line="240" w:lineRule="auto"/>
              <w:contextualSpacing/>
              <w:rPr>
                <w:sz w:val="20"/>
                <w:szCs w:val="20"/>
              </w:rPr>
            </w:pPr>
            <w:r w:rsidRPr="00BA2D76">
              <w:rPr>
                <w:sz w:val="20"/>
                <w:szCs w:val="20"/>
              </w:rPr>
              <w:t>Middlebury</w:t>
            </w:r>
          </w:p>
        </w:tc>
        <w:tc>
          <w:tcPr>
            <w:tcW w:w="717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DEDE"/>
            <w:tcMar>
              <w:top w:w="80" w:type="dxa"/>
              <w:left w:w="80" w:type="dxa"/>
              <w:bottom w:w="80" w:type="dxa"/>
              <w:right w:w="80" w:type="dxa"/>
            </w:tcMar>
          </w:tcPr>
          <w:p w14:paraId="3ECA05C9" w14:textId="77777777" w:rsidR="00BA2D76" w:rsidRPr="00BA2D76" w:rsidRDefault="00BA2D76" w:rsidP="00BA2D76">
            <w:pPr>
              <w:pStyle w:val="BasicParagraph"/>
              <w:spacing w:line="240" w:lineRule="auto"/>
              <w:contextualSpacing/>
              <w:rPr>
                <w:sz w:val="20"/>
                <w:szCs w:val="20"/>
              </w:rPr>
            </w:pPr>
            <w:r w:rsidRPr="00BA2D76">
              <w:rPr>
                <w:sz w:val="20"/>
                <w:szCs w:val="20"/>
              </w:rPr>
              <w:t>Mitigation project in East Middlebury creates a false sense of security. Development of athletic fields in the floodplain increased flood depths downtown.</w:t>
            </w:r>
          </w:p>
        </w:tc>
      </w:tr>
      <w:tr w:rsidR="00BA2D76" w14:paraId="3ECA05CE" w14:textId="77777777" w:rsidTr="6C02880B">
        <w:trPr>
          <w:trHeight w:val="25"/>
        </w:trPr>
        <w:tc>
          <w:tcPr>
            <w:tcW w:w="79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DEDE"/>
            <w:tcMar>
              <w:top w:w="80" w:type="dxa"/>
              <w:left w:w="80" w:type="dxa"/>
              <w:bottom w:w="80" w:type="dxa"/>
              <w:right w:w="80" w:type="dxa"/>
            </w:tcMar>
          </w:tcPr>
          <w:p w14:paraId="3ECA05CB" w14:textId="77777777" w:rsidR="00BA2D76" w:rsidRPr="00BA2D76" w:rsidRDefault="00BA2D76" w:rsidP="00BA2D76">
            <w:pPr>
              <w:pStyle w:val="BasicParagraph"/>
              <w:spacing w:line="240" w:lineRule="auto"/>
              <w:contextualSpacing/>
              <w:rPr>
                <w:sz w:val="20"/>
                <w:szCs w:val="20"/>
              </w:rPr>
            </w:pPr>
            <w:r w:rsidRPr="00BA2D76">
              <w:rPr>
                <w:sz w:val="20"/>
                <w:szCs w:val="20"/>
              </w:rPr>
              <w:t>BCRC</w:t>
            </w:r>
          </w:p>
        </w:tc>
        <w:tc>
          <w:tcPr>
            <w:tcW w:w="19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DEDE"/>
            <w:tcMar>
              <w:top w:w="80" w:type="dxa"/>
              <w:left w:w="80" w:type="dxa"/>
              <w:bottom w:w="80" w:type="dxa"/>
              <w:right w:w="80" w:type="dxa"/>
            </w:tcMar>
          </w:tcPr>
          <w:p w14:paraId="3ECA05CC" w14:textId="77777777" w:rsidR="00BA2D76" w:rsidRPr="00BA2D76" w:rsidRDefault="00BA2D76" w:rsidP="00BA2D76">
            <w:pPr>
              <w:pStyle w:val="BasicParagraph"/>
              <w:spacing w:line="240" w:lineRule="auto"/>
              <w:contextualSpacing/>
              <w:rPr>
                <w:sz w:val="20"/>
                <w:szCs w:val="20"/>
              </w:rPr>
            </w:pPr>
            <w:r w:rsidRPr="00BA2D76">
              <w:rPr>
                <w:sz w:val="20"/>
                <w:szCs w:val="20"/>
              </w:rPr>
              <w:t>Bennington</w:t>
            </w:r>
          </w:p>
        </w:tc>
        <w:tc>
          <w:tcPr>
            <w:tcW w:w="717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DEDE"/>
            <w:tcMar>
              <w:top w:w="80" w:type="dxa"/>
              <w:left w:w="80" w:type="dxa"/>
              <w:bottom w:w="80" w:type="dxa"/>
              <w:right w:w="80" w:type="dxa"/>
            </w:tcMar>
          </w:tcPr>
          <w:p w14:paraId="3ECA05CD" w14:textId="77777777" w:rsidR="00BA2D76" w:rsidRPr="00BA2D76" w:rsidRDefault="00BA2D76" w:rsidP="00BA2D76">
            <w:pPr>
              <w:pStyle w:val="BasicParagraph"/>
              <w:spacing w:line="240" w:lineRule="auto"/>
              <w:contextualSpacing/>
              <w:rPr>
                <w:sz w:val="20"/>
                <w:szCs w:val="20"/>
              </w:rPr>
            </w:pPr>
            <w:r w:rsidRPr="00BA2D76">
              <w:rPr>
                <w:sz w:val="20"/>
                <w:szCs w:val="20"/>
              </w:rPr>
              <w:t>Putnam Block hotel project will increase development downtown in the floodplain, though the project will include flood-proofing of new and existing buildings and is supporting a downtown.</w:t>
            </w:r>
          </w:p>
        </w:tc>
      </w:tr>
      <w:tr w:rsidR="00BA2D76" w14:paraId="3ECA05D2" w14:textId="77777777" w:rsidTr="6C02880B">
        <w:trPr>
          <w:trHeight w:val="25"/>
        </w:trPr>
        <w:tc>
          <w:tcPr>
            <w:tcW w:w="79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DEDE"/>
            <w:tcMar>
              <w:top w:w="80" w:type="dxa"/>
              <w:left w:w="80" w:type="dxa"/>
              <w:bottom w:w="80" w:type="dxa"/>
              <w:right w:w="80" w:type="dxa"/>
            </w:tcMar>
          </w:tcPr>
          <w:p w14:paraId="3ECA05CF" w14:textId="77777777" w:rsidR="00BA2D76" w:rsidRPr="00BA2D76" w:rsidRDefault="00BA2D76" w:rsidP="00BA2D76">
            <w:pPr>
              <w:pStyle w:val="BasicParagraph"/>
              <w:spacing w:line="240" w:lineRule="auto"/>
              <w:contextualSpacing/>
              <w:rPr>
                <w:sz w:val="20"/>
                <w:szCs w:val="20"/>
              </w:rPr>
            </w:pPr>
            <w:r w:rsidRPr="00BA2D76">
              <w:rPr>
                <w:sz w:val="20"/>
                <w:szCs w:val="20"/>
                <w:u w:color="FFF100"/>
              </w:rPr>
              <w:t>CCRPC</w:t>
            </w:r>
          </w:p>
        </w:tc>
        <w:tc>
          <w:tcPr>
            <w:tcW w:w="19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DEDE"/>
            <w:tcMar>
              <w:top w:w="80" w:type="dxa"/>
              <w:left w:w="80" w:type="dxa"/>
              <w:bottom w:w="80" w:type="dxa"/>
              <w:right w:w="80" w:type="dxa"/>
            </w:tcMar>
          </w:tcPr>
          <w:p w14:paraId="3ECA05D0" w14:textId="77777777" w:rsidR="00BA2D76" w:rsidRPr="00BA2D76" w:rsidRDefault="00BA2D76" w:rsidP="00BA2D76">
            <w:pPr>
              <w:pStyle w:val="BasicParagraph"/>
              <w:spacing w:line="240" w:lineRule="auto"/>
              <w:contextualSpacing/>
              <w:rPr>
                <w:sz w:val="20"/>
                <w:szCs w:val="20"/>
              </w:rPr>
            </w:pPr>
            <w:r w:rsidRPr="00BA2D76">
              <w:rPr>
                <w:sz w:val="20"/>
                <w:szCs w:val="20"/>
                <w:u w:color="FFF100"/>
              </w:rPr>
              <w:t>Montpelier</w:t>
            </w:r>
          </w:p>
        </w:tc>
        <w:tc>
          <w:tcPr>
            <w:tcW w:w="717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DEDE"/>
            <w:tcMar>
              <w:top w:w="80" w:type="dxa"/>
              <w:left w:w="80" w:type="dxa"/>
              <w:bottom w:w="80" w:type="dxa"/>
              <w:right w:w="80" w:type="dxa"/>
            </w:tcMar>
          </w:tcPr>
          <w:p w14:paraId="3ECA05D1" w14:textId="77777777" w:rsidR="00BA2D76" w:rsidRPr="00BA2D76" w:rsidRDefault="00BA2D76" w:rsidP="00BA2D76">
            <w:pPr>
              <w:pStyle w:val="BasicParagraph"/>
              <w:spacing w:line="240" w:lineRule="auto"/>
              <w:contextualSpacing/>
              <w:rPr>
                <w:sz w:val="20"/>
                <w:szCs w:val="20"/>
              </w:rPr>
            </w:pPr>
            <w:r w:rsidRPr="00BA2D76">
              <w:rPr>
                <w:sz w:val="20"/>
                <w:szCs w:val="20"/>
                <w:u w:color="FFF100"/>
              </w:rPr>
              <w:t>Several developments are planned in the City of Montpelier within the floodplain, including a hotel and a distillery. All new development will be required to follow Montpelier’s NFIP standards.</w:t>
            </w:r>
          </w:p>
        </w:tc>
      </w:tr>
      <w:tr w:rsidR="00BA2D76" w14:paraId="3ECA05D6" w14:textId="77777777" w:rsidTr="6C02880B">
        <w:trPr>
          <w:trHeight w:val="25"/>
        </w:trPr>
        <w:tc>
          <w:tcPr>
            <w:tcW w:w="79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DEDE"/>
            <w:tcMar>
              <w:top w:w="80" w:type="dxa"/>
              <w:left w:w="80" w:type="dxa"/>
              <w:bottom w:w="80" w:type="dxa"/>
              <w:right w:w="80" w:type="dxa"/>
            </w:tcMar>
          </w:tcPr>
          <w:p w14:paraId="3ECA05D3" w14:textId="77777777" w:rsidR="00BA2D76" w:rsidRPr="00BA2D76" w:rsidRDefault="00BA2D76" w:rsidP="00BA2D76">
            <w:pPr>
              <w:pStyle w:val="BasicParagraph"/>
              <w:spacing w:line="240" w:lineRule="auto"/>
              <w:contextualSpacing/>
              <w:rPr>
                <w:sz w:val="20"/>
                <w:szCs w:val="20"/>
              </w:rPr>
            </w:pPr>
            <w:r w:rsidRPr="00BA2D76">
              <w:rPr>
                <w:sz w:val="20"/>
                <w:szCs w:val="20"/>
                <w:u w:color="FFF100"/>
              </w:rPr>
              <w:t>CCRPC</w:t>
            </w:r>
          </w:p>
        </w:tc>
        <w:tc>
          <w:tcPr>
            <w:tcW w:w="19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DEDE"/>
            <w:tcMar>
              <w:top w:w="80" w:type="dxa"/>
              <w:left w:w="80" w:type="dxa"/>
              <w:bottom w:w="80" w:type="dxa"/>
              <w:right w:w="80" w:type="dxa"/>
            </w:tcMar>
          </w:tcPr>
          <w:p w14:paraId="3ECA05D4" w14:textId="77777777" w:rsidR="00BA2D76" w:rsidRPr="00BA2D76" w:rsidRDefault="00BA2D76" w:rsidP="00BA2D76">
            <w:pPr>
              <w:pStyle w:val="BasicParagraph"/>
              <w:spacing w:line="240" w:lineRule="auto"/>
              <w:contextualSpacing/>
              <w:rPr>
                <w:sz w:val="20"/>
                <w:szCs w:val="20"/>
              </w:rPr>
            </w:pPr>
            <w:r w:rsidRPr="00BA2D76">
              <w:rPr>
                <w:sz w:val="20"/>
                <w:szCs w:val="20"/>
                <w:u w:color="FFF100"/>
              </w:rPr>
              <w:t>Jeffersonville Village</w:t>
            </w:r>
          </w:p>
        </w:tc>
        <w:tc>
          <w:tcPr>
            <w:tcW w:w="717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DEDE"/>
            <w:tcMar>
              <w:top w:w="80" w:type="dxa"/>
              <w:left w:w="80" w:type="dxa"/>
              <w:bottom w:w="80" w:type="dxa"/>
              <w:right w:w="80" w:type="dxa"/>
            </w:tcMar>
          </w:tcPr>
          <w:p w14:paraId="3ECA05D5" w14:textId="77777777" w:rsidR="00BA2D76" w:rsidRPr="00BA2D76" w:rsidRDefault="00BA2D76" w:rsidP="00BA2D76">
            <w:pPr>
              <w:pStyle w:val="BasicParagraph"/>
              <w:spacing w:line="240" w:lineRule="auto"/>
              <w:contextualSpacing/>
              <w:rPr>
                <w:sz w:val="20"/>
                <w:szCs w:val="20"/>
              </w:rPr>
            </w:pPr>
            <w:r w:rsidRPr="00BA2D76">
              <w:rPr>
                <w:sz w:val="20"/>
                <w:szCs w:val="20"/>
                <w:u w:color="FFF100"/>
              </w:rPr>
              <w:t>Vulnerable has been reduced due to FEMA-funded projects, including the Greenway Trail Bridge replacement project and floodplain restoration, and drainage improvements downtown that are currently underway.</w:t>
            </w:r>
          </w:p>
        </w:tc>
      </w:tr>
      <w:tr w:rsidR="00BA2D76" w14:paraId="3ECA05DA" w14:textId="77777777" w:rsidTr="6C02880B">
        <w:trPr>
          <w:trHeight w:val="25"/>
        </w:trPr>
        <w:tc>
          <w:tcPr>
            <w:tcW w:w="79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DEDE"/>
            <w:tcMar>
              <w:top w:w="80" w:type="dxa"/>
              <w:left w:w="80" w:type="dxa"/>
              <w:bottom w:w="80" w:type="dxa"/>
              <w:right w:w="80" w:type="dxa"/>
            </w:tcMar>
          </w:tcPr>
          <w:p w14:paraId="3ECA05D7" w14:textId="77777777" w:rsidR="00BA2D76" w:rsidRPr="00BA2D76" w:rsidRDefault="00BA2D76" w:rsidP="00BA2D76">
            <w:pPr>
              <w:pStyle w:val="BasicParagraph"/>
              <w:spacing w:line="240" w:lineRule="auto"/>
              <w:contextualSpacing/>
              <w:rPr>
                <w:sz w:val="20"/>
                <w:szCs w:val="20"/>
              </w:rPr>
            </w:pPr>
            <w:r w:rsidRPr="00BA2D76">
              <w:rPr>
                <w:sz w:val="20"/>
                <w:szCs w:val="20"/>
                <w:u w:color="FFF100"/>
              </w:rPr>
              <w:t>CCRPC</w:t>
            </w:r>
          </w:p>
        </w:tc>
        <w:tc>
          <w:tcPr>
            <w:tcW w:w="19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DEDE"/>
            <w:tcMar>
              <w:top w:w="80" w:type="dxa"/>
              <w:left w:w="80" w:type="dxa"/>
              <w:bottom w:w="80" w:type="dxa"/>
              <w:right w:w="80" w:type="dxa"/>
            </w:tcMar>
          </w:tcPr>
          <w:p w14:paraId="3ECA05D8" w14:textId="77777777" w:rsidR="00BA2D76" w:rsidRPr="00BA2D76" w:rsidRDefault="00BA2D76" w:rsidP="00BA2D76">
            <w:pPr>
              <w:pStyle w:val="BasicParagraph"/>
              <w:spacing w:line="240" w:lineRule="auto"/>
              <w:contextualSpacing/>
              <w:rPr>
                <w:sz w:val="20"/>
                <w:szCs w:val="20"/>
              </w:rPr>
            </w:pPr>
            <w:r w:rsidRPr="00BA2D76">
              <w:rPr>
                <w:sz w:val="20"/>
                <w:szCs w:val="20"/>
                <w:u w:color="FFF100"/>
              </w:rPr>
              <w:t>Grand Isle</w:t>
            </w:r>
          </w:p>
        </w:tc>
        <w:tc>
          <w:tcPr>
            <w:tcW w:w="717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DEDE"/>
            <w:tcMar>
              <w:top w:w="80" w:type="dxa"/>
              <w:left w:w="80" w:type="dxa"/>
              <w:bottom w:w="80" w:type="dxa"/>
              <w:right w:w="80" w:type="dxa"/>
            </w:tcMar>
          </w:tcPr>
          <w:p w14:paraId="3ECA05D9" w14:textId="77777777" w:rsidR="00BA2D76" w:rsidRPr="00BA2D76" w:rsidRDefault="00BA2D76" w:rsidP="00BA2D76">
            <w:pPr>
              <w:pStyle w:val="BasicParagraph"/>
              <w:spacing w:line="240" w:lineRule="auto"/>
              <w:contextualSpacing/>
              <w:rPr>
                <w:sz w:val="20"/>
                <w:szCs w:val="20"/>
              </w:rPr>
            </w:pPr>
            <w:r w:rsidRPr="00BA2D76">
              <w:rPr>
                <w:sz w:val="20"/>
                <w:szCs w:val="20"/>
                <w:u w:color="FFF100"/>
              </w:rPr>
              <w:t>There has been a decline in agricultural use of land, a small amount of additional residential development along existing roadways and the shoreline, and some commercial development along Route 2. This development has not occurred in hazard-prone areas.</w:t>
            </w:r>
          </w:p>
        </w:tc>
      </w:tr>
      <w:tr w:rsidR="00BA2D76" w14:paraId="3ECA05DE" w14:textId="77777777" w:rsidTr="6C02880B">
        <w:trPr>
          <w:trHeight w:val="25"/>
        </w:trPr>
        <w:tc>
          <w:tcPr>
            <w:tcW w:w="79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DEDE"/>
            <w:tcMar>
              <w:top w:w="80" w:type="dxa"/>
              <w:left w:w="80" w:type="dxa"/>
              <w:bottom w:w="80" w:type="dxa"/>
              <w:right w:w="80" w:type="dxa"/>
            </w:tcMar>
          </w:tcPr>
          <w:p w14:paraId="3ECA05DB" w14:textId="77777777" w:rsidR="00BA2D76" w:rsidRPr="00BA2D76" w:rsidRDefault="00BA2D76" w:rsidP="00BA2D76">
            <w:pPr>
              <w:pStyle w:val="BasicParagraph"/>
              <w:spacing w:line="240" w:lineRule="auto"/>
              <w:contextualSpacing/>
              <w:rPr>
                <w:sz w:val="20"/>
                <w:szCs w:val="20"/>
              </w:rPr>
            </w:pPr>
            <w:r w:rsidRPr="00BA2D76">
              <w:rPr>
                <w:sz w:val="20"/>
                <w:szCs w:val="20"/>
              </w:rPr>
              <w:t>CVRPC</w:t>
            </w:r>
          </w:p>
        </w:tc>
        <w:tc>
          <w:tcPr>
            <w:tcW w:w="19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DEDE"/>
            <w:tcMar>
              <w:top w:w="80" w:type="dxa"/>
              <w:left w:w="80" w:type="dxa"/>
              <w:bottom w:w="80" w:type="dxa"/>
              <w:right w:w="80" w:type="dxa"/>
            </w:tcMar>
          </w:tcPr>
          <w:p w14:paraId="3ECA05DC" w14:textId="77777777" w:rsidR="00BA2D76" w:rsidRPr="00BA2D76" w:rsidRDefault="00BA2D76" w:rsidP="00BA2D76">
            <w:pPr>
              <w:pStyle w:val="BasicParagraph"/>
              <w:spacing w:line="240" w:lineRule="auto"/>
              <w:contextualSpacing/>
              <w:rPr>
                <w:sz w:val="20"/>
                <w:szCs w:val="20"/>
              </w:rPr>
            </w:pPr>
            <w:r w:rsidRPr="00BA2D76">
              <w:rPr>
                <w:sz w:val="20"/>
                <w:szCs w:val="20"/>
              </w:rPr>
              <w:t xml:space="preserve">Barre City, Northfield, Middlesex </w:t>
            </w:r>
          </w:p>
        </w:tc>
        <w:tc>
          <w:tcPr>
            <w:tcW w:w="717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DEDE"/>
            <w:tcMar>
              <w:top w:w="80" w:type="dxa"/>
              <w:left w:w="80" w:type="dxa"/>
              <w:bottom w:w="80" w:type="dxa"/>
              <w:right w:w="80" w:type="dxa"/>
            </w:tcMar>
          </w:tcPr>
          <w:p w14:paraId="3ECA05DD" w14:textId="77777777" w:rsidR="00BA2D76" w:rsidRPr="00BA2D76" w:rsidRDefault="00BA2D76" w:rsidP="00BA2D76">
            <w:pPr>
              <w:pStyle w:val="BasicParagraph"/>
              <w:spacing w:line="240" w:lineRule="auto"/>
              <w:contextualSpacing/>
              <w:rPr>
                <w:sz w:val="20"/>
                <w:szCs w:val="20"/>
              </w:rPr>
            </w:pPr>
            <w:r w:rsidRPr="00BA2D76">
              <w:rPr>
                <w:sz w:val="20"/>
                <w:szCs w:val="20"/>
              </w:rPr>
              <w:t>Home buyout projects have restored the floodplain to reduce and eliminate risk from flooding.</w:t>
            </w:r>
          </w:p>
        </w:tc>
      </w:tr>
      <w:tr w:rsidR="00BA2D76" w14:paraId="3ECA05E2" w14:textId="77777777" w:rsidTr="6C02880B">
        <w:trPr>
          <w:trHeight w:val="25"/>
        </w:trPr>
        <w:tc>
          <w:tcPr>
            <w:tcW w:w="79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DEDE"/>
            <w:tcMar>
              <w:top w:w="80" w:type="dxa"/>
              <w:left w:w="80" w:type="dxa"/>
              <w:bottom w:w="80" w:type="dxa"/>
              <w:right w:w="80" w:type="dxa"/>
            </w:tcMar>
          </w:tcPr>
          <w:p w14:paraId="3ECA05DF" w14:textId="77777777" w:rsidR="00BA2D76" w:rsidRPr="00BA2D76" w:rsidRDefault="00BA2D76" w:rsidP="00BA2D76">
            <w:pPr>
              <w:pStyle w:val="BasicParagraph"/>
              <w:spacing w:line="240" w:lineRule="auto"/>
              <w:contextualSpacing/>
              <w:rPr>
                <w:sz w:val="20"/>
                <w:szCs w:val="20"/>
              </w:rPr>
            </w:pPr>
            <w:r w:rsidRPr="00BA2D76">
              <w:rPr>
                <w:sz w:val="20"/>
                <w:szCs w:val="20"/>
              </w:rPr>
              <w:t>CVRPC</w:t>
            </w:r>
          </w:p>
        </w:tc>
        <w:tc>
          <w:tcPr>
            <w:tcW w:w="19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DEDE"/>
            <w:tcMar>
              <w:top w:w="80" w:type="dxa"/>
              <w:left w:w="80" w:type="dxa"/>
              <w:bottom w:w="80" w:type="dxa"/>
              <w:right w:w="80" w:type="dxa"/>
            </w:tcMar>
          </w:tcPr>
          <w:p w14:paraId="3ECA05E0" w14:textId="77777777" w:rsidR="00BA2D76" w:rsidRPr="00BA2D76" w:rsidRDefault="00BA2D76" w:rsidP="00BA2D76">
            <w:pPr>
              <w:pStyle w:val="BasicParagraph"/>
              <w:spacing w:line="240" w:lineRule="auto"/>
              <w:contextualSpacing/>
              <w:rPr>
                <w:sz w:val="20"/>
                <w:szCs w:val="20"/>
              </w:rPr>
            </w:pPr>
            <w:r w:rsidRPr="00BA2D76">
              <w:rPr>
                <w:sz w:val="20"/>
                <w:szCs w:val="20"/>
              </w:rPr>
              <w:t>Plainfield</w:t>
            </w:r>
          </w:p>
        </w:tc>
        <w:tc>
          <w:tcPr>
            <w:tcW w:w="717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DEDE"/>
            <w:tcMar>
              <w:top w:w="80" w:type="dxa"/>
              <w:left w:w="80" w:type="dxa"/>
              <w:bottom w:w="80" w:type="dxa"/>
              <w:right w:w="80" w:type="dxa"/>
            </w:tcMar>
          </w:tcPr>
          <w:p w14:paraId="3ECA05E1" w14:textId="77777777" w:rsidR="00BA2D76" w:rsidRPr="00BA2D76" w:rsidRDefault="00BA2D76" w:rsidP="00BA2D76">
            <w:pPr>
              <w:pStyle w:val="BasicParagraph"/>
              <w:spacing w:line="240" w:lineRule="auto"/>
              <w:contextualSpacing/>
              <w:rPr>
                <w:sz w:val="20"/>
                <w:szCs w:val="20"/>
              </w:rPr>
            </w:pPr>
            <w:r w:rsidRPr="00BA2D76">
              <w:rPr>
                <w:sz w:val="20"/>
                <w:szCs w:val="20"/>
              </w:rPr>
              <w:t>Home buyouts at risk from landslide and fluvial erosion have eliminated risk for specific properties.</w:t>
            </w:r>
          </w:p>
        </w:tc>
      </w:tr>
      <w:tr w:rsidR="00BA2D76" w14:paraId="3ECA05E6" w14:textId="77777777" w:rsidTr="6C02880B">
        <w:trPr>
          <w:trHeight w:val="25"/>
        </w:trPr>
        <w:tc>
          <w:tcPr>
            <w:tcW w:w="79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DEDE"/>
            <w:tcMar>
              <w:top w:w="80" w:type="dxa"/>
              <w:left w:w="80" w:type="dxa"/>
              <w:bottom w:w="80" w:type="dxa"/>
              <w:right w:w="80" w:type="dxa"/>
            </w:tcMar>
          </w:tcPr>
          <w:p w14:paraId="3ECA05E3" w14:textId="77777777" w:rsidR="00BA2D76" w:rsidRPr="00BA2D76" w:rsidRDefault="00BA2D76" w:rsidP="00BA2D76">
            <w:pPr>
              <w:pStyle w:val="BasicParagraph"/>
              <w:spacing w:line="240" w:lineRule="auto"/>
              <w:contextualSpacing/>
              <w:rPr>
                <w:sz w:val="20"/>
                <w:szCs w:val="20"/>
              </w:rPr>
            </w:pPr>
            <w:r w:rsidRPr="00BA2D76">
              <w:rPr>
                <w:sz w:val="20"/>
                <w:szCs w:val="20"/>
              </w:rPr>
              <w:t>NVDA</w:t>
            </w:r>
          </w:p>
        </w:tc>
        <w:tc>
          <w:tcPr>
            <w:tcW w:w="19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DEDE"/>
            <w:tcMar>
              <w:top w:w="80" w:type="dxa"/>
              <w:left w:w="80" w:type="dxa"/>
              <w:bottom w:w="80" w:type="dxa"/>
              <w:right w:w="80" w:type="dxa"/>
            </w:tcMar>
          </w:tcPr>
          <w:p w14:paraId="3ECA05E4" w14:textId="77777777" w:rsidR="00BA2D76" w:rsidRPr="00BA2D76" w:rsidRDefault="00BA2D76" w:rsidP="00BA2D76">
            <w:pPr>
              <w:pStyle w:val="BasicParagraph"/>
              <w:spacing w:line="240" w:lineRule="auto"/>
              <w:contextualSpacing/>
              <w:rPr>
                <w:sz w:val="20"/>
                <w:szCs w:val="20"/>
              </w:rPr>
            </w:pPr>
            <w:r w:rsidRPr="00BA2D76">
              <w:rPr>
                <w:sz w:val="20"/>
                <w:szCs w:val="20"/>
              </w:rPr>
              <w:t xml:space="preserve">Concord, </w:t>
            </w:r>
            <w:proofErr w:type="spellStart"/>
            <w:r w:rsidRPr="00BA2D76">
              <w:rPr>
                <w:sz w:val="20"/>
                <w:szCs w:val="20"/>
              </w:rPr>
              <w:t>Maidstone</w:t>
            </w:r>
            <w:proofErr w:type="spellEnd"/>
            <w:r w:rsidRPr="00BA2D76">
              <w:rPr>
                <w:sz w:val="20"/>
                <w:szCs w:val="20"/>
              </w:rPr>
              <w:t>, Westmore, Barnet</w:t>
            </w:r>
          </w:p>
        </w:tc>
        <w:tc>
          <w:tcPr>
            <w:tcW w:w="717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DEDE"/>
            <w:tcMar>
              <w:top w:w="80" w:type="dxa"/>
              <w:left w:w="80" w:type="dxa"/>
              <w:bottom w:w="80" w:type="dxa"/>
              <w:right w:w="80" w:type="dxa"/>
            </w:tcMar>
          </w:tcPr>
          <w:p w14:paraId="3ECA05E5" w14:textId="77777777" w:rsidR="00BA2D76" w:rsidRPr="00BA2D76" w:rsidRDefault="00BA2D76" w:rsidP="00BA2D76">
            <w:pPr>
              <w:pStyle w:val="BasicParagraph"/>
              <w:spacing w:line="240" w:lineRule="auto"/>
              <w:contextualSpacing/>
              <w:rPr>
                <w:sz w:val="20"/>
                <w:szCs w:val="20"/>
              </w:rPr>
            </w:pPr>
            <w:r w:rsidRPr="00BA2D76">
              <w:rPr>
                <w:sz w:val="20"/>
                <w:szCs w:val="20"/>
              </w:rPr>
              <w:t>Conversion of seasonal homes to year-round use causes more use of old septic systems close to lakes – creating potential for contamination to surface waters. Roads that used to only be used seasonally are now used year-round.</w:t>
            </w:r>
          </w:p>
        </w:tc>
      </w:tr>
      <w:tr w:rsidR="00BA2D76" w14:paraId="3ECA05EA" w14:textId="77777777" w:rsidTr="6C02880B">
        <w:trPr>
          <w:trHeight w:val="25"/>
        </w:trPr>
        <w:tc>
          <w:tcPr>
            <w:tcW w:w="79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DEDE"/>
            <w:tcMar>
              <w:top w:w="80" w:type="dxa"/>
              <w:left w:w="80" w:type="dxa"/>
              <w:bottom w:w="80" w:type="dxa"/>
              <w:right w:w="80" w:type="dxa"/>
            </w:tcMar>
          </w:tcPr>
          <w:p w14:paraId="3ECA05E7" w14:textId="77777777" w:rsidR="00BA2D76" w:rsidRPr="00BA2D76" w:rsidRDefault="00BA2D76" w:rsidP="00BA2D76">
            <w:pPr>
              <w:pStyle w:val="BasicParagraph"/>
              <w:spacing w:line="240" w:lineRule="auto"/>
              <w:contextualSpacing/>
              <w:rPr>
                <w:sz w:val="20"/>
                <w:szCs w:val="20"/>
              </w:rPr>
            </w:pPr>
            <w:r w:rsidRPr="00BA2D76">
              <w:rPr>
                <w:sz w:val="20"/>
                <w:szCs w:val="20"/>
              </w:rPr>
              <w:t>RRPC</w:t>
            </w:r>
          </w:p>
        </w:tc>
        <w:tc>
          <w:tcPr>
            <w:tcW w:w="19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DEDE"/>
            <w:tcMar>
              <w:top w:w="80" w:type="dxa"/>
              <w:left w:w="80" w:type="dxa"/>
              <w:bottom w:w="80" w:type="dxa"/>
              <w:right w:w="80" w:type="dxa"/>
            </w:tcMar>
          </w:tcPr>
          <w:p w14:paraId="3ECA05E8" w14:textId="77777777" w:rsidR="00BA2D76" w:rsidRPr="00BA2D76" w:rsidRDefault="00BA2D76" w:rsidP="00BA2D76">
            <w:pPr>
              <w:pStyle w:val="BasicParagraph"/>
              <w:spacing w:line="240" w:lineRule="auto"/>
              <w:contextualSpacing/>
              <w:rPr>
                <w:sz w:val="20"/>
                <w:szCs w:val="20"/>
              </w:rPr>
            </w:pPr>
            <w:r w:rsidRPr="00BA2D76">
              <w:rPr>
                <w:sz w:val="20"/>
                <w:szCs w:val="20"/>
              </w:rPr>
              <w:t>Brandon</w:t>
            </w:r>
          </w:p>
        </w:tc>
        <w:tc>
          <w:tcPr>
            <w:tcW w:w="717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DEDE"/>
            <w:tcMar>
              <w:top w:w="80" w:type="dxa"/>
              <w:left w:w="80" w:type="dxa"/>
              <w:bottom w:w="80" w:type="dxa"/>
              <w:right w:w="80" w:type="dxa"/>
            </w:tcMar>
          </w:tcPr>
          <w:p w14:paraId="3ECA05E9" w14:textId="77777777" w:rsidR="00BA2D76" w:rsidRPr="00BA2D76" w:rsidRDefault="00BA2D76" w:rsidP="00BA2D76">
            <w:pPr>
              <w:pStyle w:val="BasicParagraph"/>
              <w:spacing w:line="240" w:lineRule="auto"/>
              <w:contextualSpacing/>
              <w:rPr>
                <w:sz w:val="20"/>
                <w:szCs w:val="20"/>
              </w:rPr>
            </w:pPr>
            <w:r w:rsidRPr="00BA2D76">
              <w:rPr>
                <w:sz w:val="20"/>
                <w:szCs w:val="20"/>
              </w:rPr>
              <w:t xml:space="preserve">Box culvert was built to allow the </w:t>
            </w:r>
            <w:proofErr w:type="spellStart"/>
            <w:r w:rsidRPr="00BA2D76">
              <w:rPr>
                <w:sz w:val="20"/>
                <w:szCs w:val="20"/>
              </w:rPr>
              <w:t>Neshobe</w:t>
            </w:r>
            <w:proofErr w:type="spellEnd"/>
            <w:r w:rsidRPr="00BA2D76">
              <w:rPr>
                <w:sz w:val="20"/>
                <w:szCs w:val="20"/>
              </w:rPr>
              <w:t xml:space="preserve"> River to pass through downtown during heavy flows and reduce vulnerability in town.</w:t>
            </w:r>
          </w:p>
        </w:tc>
      </w:tr>
      <w:tr w:rsidR="00BA2D76" w14:paraId="3ECA05EE" w14:textId="77777777" w:rsidTr="6C02880B">
        <w:trPr>
          <w:trHeight w:val="550"/>
        </w:trPr>
        <w:tc>
          <w:tcPr>
            <w:tcW w:w="79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DEDE"/>
            <w:tcMar>
              <w:top w:w="80" w:type="dxa"/>
              <w:left w:w="80" w:type="dxa"/>
              <w:bottom w:w="80" w:type="dxa"/>
              <w:right w:w="80" w:type="dxa"/>
            </w:tcMar>
          </w:tcPr>
          <w:p w14:paraId="3ECA05EB" w14:textId="77777777" w:rsidR="00BA2D76" w:rsidRPr="00BA2D76" w:rsidRDefault="00BA2D76" w:rsidP="00BA2D76">
            <w:pPr>
              <w:pStyle w:val="BasicParagraph"/>
              <w:spacing w:line="240" w:lineRule="auto"/>
              <w:contextualSpacing/>
              <w:rPr>
                <w:sz w:val="20"/>
                <w:szCs w:val="20"/>
              </w:rPr>
            </w:pPr>
            <w:r w:rsidRPr="00BA2D76">
              <w:rPr>
                <w:sz w:val="20"/>
                <w:szCs w:val="20"/>
              </w:rPr>
              <w:t>TRORC</w:t>
            </w:r>
          </w:p>
        </w:tc>
        <w:tc>
          <w:tcPr>
            <w:tcW w:w="19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DEDE"/>
            <w:tcMar>
              <w:top w:w="80" w:type="dxa"/>
              <w:left w:w="80" w:type="dxa"/>
              <w:bottom w:w="80" w:type="dxa"/>
              <w:right w:w="80" w:type="dxa"/>
            </w:tcMar>
          </w:tcPr>
          <w:p w14:paraId="3ECA05EC" w14:textId="77777777" w:rsidR="00BA2D76" w:rsidRPr="00BA2D76" w:rsidRDefault="00BA2D76" w:rsidP="00BA2D76">
            <w:pPr>
              <w:pStyle w:val="BasicParagraph"/>
              <w:spacing w:line="240" w:lineRule="auto"/>
              <w:contextualSpacing/>
              <w:rPr>
                <w:sz w:val="20"/>
                <w:szCs w:val="20"/>
              </w:rPr>
            </w:pPr>
            <w:r w:rsidRPr="00BA2D76">
              <w:rPr>
                <w:sz w:val="20"/>
                <w:szCs w:val="20"/>
              </w:rPr>
              <w:t>Woodstock</w:t>
            </w:r>
          </w:p>
        </w:tc>
        <w:tc>
          <w:tcPr>
            <w:tcW w:w="717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DEDE"/>
            <w:tcMar>
              <w:top w:w="80" w:type="dxa"/>
              <w:left w:w="80" w:type="dxa"/>
              <w:bottom w:w="80" w:type="dxa"/>
              <w:right w:w="80" w:type="dxa"/>
            </w:tcMar>
          </w:tcPr>
          <w:p w14:paraId="3ECA05ED" w14:textId="77777777" w:rsidR="00BA2D76" w:rsidRPr="00BA2D76" w:rsidRDefault="00BA2D76" w:rsidP="00BA2D76">
            <w:pPr>
              <w:pStyle w:val="BasicParagraph"/>
              <w:spacing w:line="240" w:lineRule="auto"/>
              <w:contextualSpacing/>
              <w:rPr>
                <w:sz w:val="20"/>
                <w:szCs w:val="20"/>
              </w:rPr>
            </w:pPr>
            <w:r w:rsidRPr="00BA2D76">
              <w:rPr>
                <w:sz w:val="20"/>
                <w:szCs w:val="20"/>
              </w:rPr>
              <w:t>Major infrastructure was rebuilt in floodplain after Irene; the village area is highly vulnerable to inundation and fluvial erosion.</w:t>
            </w:r>
          </w:p>
        </w:tc>
      </w:tr>
      <w:tr w:rsidR="00BA2D76" w14:paraId="3ECA05F2" w14:textId="77777777" w:rsidTr="6C02880B">
        <w:trPr>
          <w:trHeight w:val="25"/>
        </w:trPr>
        <w:tc>
          <w:tcPr>
            <w:tcW w:w="79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DEDE"/>
            <w:tcMar>
              <w:top w:w="80" w:type="dxa"/>
              <w:left w:w="80" w:type="dxa"/>
              <w:bottom w:w="80" w:type="dxa"/>
              <w:right w:w="80" w:type="dxa"/>
            </w:tcMar>
          </w:tcPr>
          <w:p w14:paraId="3ECA05EF" w14:textId="77777777" w:rsidR="00BA2D76" w:rsidRPr="00BA2D76" w:rsidRDefault="00BA2D76" w:rsidP="00BA2D76">
            <w:pPr>
              <w:pStyle w:val="BasicParagraph"/>
              <w:spacing w:line="240" w:lineRule="auto"/>
              <w:contextualSpacing/>
              <w:rPr>
                <w:sz w:val="20"/>
                <w:szCs w:val="20"/>
              </w:rPr>
            </w:pPr>
            <w:r w:rsidRPr="00BA2D76">
              <w:rPr>
                <w:sz w:val="20"/>
                <w:szCs w:val="20"/>
                <w:u w:color="FFF100"/>
              </w:rPr>
              <w:t>WRC</w:t>
            </w:r>
          </w:p>
        </w:tc>
        <w:tc>
          <w:tcPr>
            <w:tcW w:w="19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DEDE"/>
            <w:tcMar>
              <w:top w:w="80" w:type="dxa"/>
              <w:left w:w="80" w:type="dxa"/>
              <w:bottom w:w="80" w:type="dxa"/>
              <w:right w:w="80" w:type="dxa"/>
            </w:tcMar>
          </w:tcPr>
          <w:p w14:paraId="3ECA05F0" w14:textId="77777777" w:rsidR="00BA2D76" w:rsidRPr="00BA2D76" w:rsidRDefault="00BA2D76" w:rsidP="00BA2D76">
            <w:pPr>
              <w:pStyle w:val="BasicParagraph"/>
              <w:spacing w:line="240" w:lineRule="auto"/>
              <w:contextualSpacing/>
              <w:rPr>
                <w:sz w:val="20"/>
                <w:szCs w:val="20"/>
              </w:rPr>
            </w:pPr>
            <w:r w:rsidRPr="00BA2D76">
              <w:rPr>
                <w:sz w:val="20"/>
                <w:szCs w:val="20"/>
                <w:u w:color="FFF100"/>
              </w:rPr>
              <w:t>Brattleboro</w:t>
            </w:r>
          </w:p>
        </w:tc>
        <w:tc>
          <w:tcPr>
            <w:tcW w:w="717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DEDE"/>
            <w:tcMar>
              <w:top w:w="80" w:type="dxa"/>
              <w:left w:w="80" w:type="dxa"/>
              <w:bottom w:w="80" w:type="dxa"/>
              <w:right w:w="80" w:type="dxa"/>
            </w:tcMar>
          </w:tcPr>
          <w:p w14:paraId="3ECA05F1" w14:textId="77777777" w:rsidR="00BA2D76" w:rsidRPr="00BA2D76" w:rsidRDefault="00BA2D76" w:rsidP="00BA2D76">
            <w:pPr>
              <w:pStyle w:val="BasicParagraph"/>
              <w:spacing w:line="240" w:lineRule="auto"/>
              <w:contextualSpacing/>
              <w:rPr>
                <w:sz w:val="20"/>
                <w:szCs w:val="20"/>
              </w:rPr>
            </w:pPr>
            <w:r w:rsidRPr="00BA2D76">
              <w:rPr>
                <w:sz w:val="20"/>
                <w:szCs w:val="20"/>
                <w:u w:color="FFF100"/>
              </w:rPr>
              <w:t>While no significant development has happened in Brattleboro according to their most recent LHMP, a pending Pre-Disaster Mitigation project for property buyouts and floodplain restoration on the Whetstone Brook will lower flood levels in Brattleboro.</w:t>
            </w:r>
          </w:p>
        </w:tc>
      </w:tr>
      <w:tr w:rsidR="00BA2D76" w14:paraId="3ECA05F6" w14:textId="77777777" w:rsidTr="6C02880B">
        <w:trPr>
          <w:trHeight w:val="25"/>
        </w:trPr>
        <w:tc>
          <w:tcPr>
            <w:tcW w:w="79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DEDE"/>
            <w:tcMar>
              <w:top w:w="80" w:type="dxa"/>
              <w:left w:w="80" w:type="dxa"/>
              <w:bottom w:w="80" w:type="dxa"/>
              <w:right w:w="80" w:type="dxa"/>
            </w:tcMar>
          </w:tcPr>
          <w:p w14:paraId="3ECA05F3" w14:textId="77777777" w:rsidR="00BA2D76" w:rsidRPr="00BA2D76" w:rsidRDefault="00BA2D76" w:rsidP="00BA2D76">
            <w:pPr>
              <w:pStyle w:val="BasicParagraph"/>
              <w:spacing w:line="240" w:lineRule="auto"/>
              <w:contextualSpacing/>
              <w:rPr>
                <w:sz w:val="20"/>
                <w:szCs w:val="20"/>
              </w:rPr>
            </w:pPr>
            <w:r w:rsidRPr="00BA2D76">
              <w:rPr>
                <w:sz w:val="20"/>
                <w:szCs w:val="20"/>
              </w:rPr>
              <w:t>WRC</w:t>
            </w:r>
          </w:p>
        </w:tc>
        <w:tc>
          <w:tcPr>
            <w:tcW w:w="19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DEDE"/>
            <w:tcMar>
              <w:top w:w="80" w:type="dxa"/>
              <w:left w:w="80" w:type="dxa"/>
              <w:bottom w:w="80" w:type="dxa"/>
              <w:right w:w="80" w:type="dxa"/>
            </w:tcMar>
          </w:tcPr>
          <w:p w14:paraId="3ECA05F4" w14:textId="77777777" w:rsidR="00BA2D76" w:rsidRPr="00BA2D76" w:rsidRDefault="00BA2D76" w:rsidP="00BA2D76">
            <w:pPr>
              <w:pStyle w:val="BasicParagraph"/>
              <w:spacing w:line="240" w:lineRule="auto"/>
              <w:contextualSpacing/>
              <w:rPr>
                <w:sz w:val="20"/>
                <w:szCs w:val="20"/>
              </w:rPr>
            </w:pPr>
            <w:r w:rsidRPr="00BA2D76">
              <w:rPr>
                <w:sz w:val="20"/>
                <w:szCs w:val="20"/>
              </w:rPr>
              <w:t>Dover</w:t>
            </w:r>
          </w:p>
        </w:tc>
        <w:tc>
          <w:tcPr>
            <w:tcW w:w="717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DEDE"/>
            <w:tcMar>
              <w:top w:w="80" w:type="dxa"/>
              <w:left w:w="80" w:type="dxa"/>
              <w:bottom w:w="80" w:type="dxa"/>
              <w:right w:w="80" w:type="dxa"/>
            </w:tcMar>
          </w:tcPr>
          <w:p w14:paraId="3ECA05F5" w14:textId="77777777" w:rsidR="00BA2D76" w:rsidRPr="00BA2D76" w:rsidRDefault="00BA2D76" w:rsidP="00BA2D76">
            <w:pPr>
              <w:pStyle w:val="BasicParagraph"/>
              <w:spacing w:line="240" w:lineRule="auto"/>
              <w:contextualSpacing/>
              <w:rPr>
                <w:sz w:val="20"/>
                <w:szCs w:val="20"/>
              </w:rPr>
            </w:pPr>
            <w:r w:rsidRPr="00BA2D76">
              <w:rPr>
                <w:sz w:val="20"/>
                <w:szCs w:val="20"/>
              </w:rPr>
              <w:t>Changes are expected due to Mount Snow Resort development, possibly including changes to flood patterns due to snowmaking water in a different watershed.</w:t>
            </w:r>
          </w:p>
        </w:tc>
      </w:tr>
      <w:tr w:rsidR="00BA2D76" w14:paraId="3ECA05FA" w14:textId="77777777" w:rsidTr="6C02880B">
        <w:trPr>
          <w:trHeight w:val="25"/>
        </w:trPr>
        <w:tc>
          <w:tcPr>
            <w:tcW w:w="79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DEDE"/>
            <w:tcMar>
              <w:top w:w="80" w:type="dxa"/>
              <w:left w:w="80" w:type="dxa"/>
              <w:bottom w:w="80" w:type="dxa"/>
              <w:right w:w="80" w:type="dxa"/>
            </w:tcMar>
          </w:tcPr>
          <w:p w14:paraId="3ECA05F7" w14:textId="77777777" w:rsidR="00BA2D76" w:rsidRPr="00BA2D76" w:rsidRDefault="00BA2D76" w:rsidP="00BA2D76">
            <w:pPr>
              <w:pStyle w:val="BasicParagraph"/>
              <w:spacing w:line="240" w:lineRule="auto"/>
              <w:contextualSpacing/>
              <w:rPr>
                <w:sz w:val="20"/>
                <w:szCs w:val="20"/>
              </w:rPr>
            </w:pPr>
            <w:r w:rsidRPr="00BA2D76">
              <w:rPr>
                <w:sz w:val="20"/>
                <w:szCs w:val="20"/>
              </w:rPr>
              <w:t>WRC</w:t>
            </w:r>
          </w:p>
        </w:tc>
        <w:tc>
          <w:tcPr>
            <w:tcW w:w="19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DEDE"/>
            <w:tcMar>
              <w:top w:w="80" w:type="dxa"/>
              <w:left w:w="80" w:type="dxa"/>
              <w:bottom w:w="80" w:type="dxa"/>
              <w:right w:w="80" w:type="dxa"/>
            </w:tcMar>
          </w:tcPr>
          <w:p w14:paraId="3ECA05F8" w14:textId="77777777" w:rsidR="00BA2D76" w:rsidRPr="00BA2D76" w:rsidRDefault="00BA2D76" w:rsidP="00BA2D76">
            <w:pPr>
              <w:pStyle w:val="BasicParagraph"/>
              <w:spacing w:line="240" w:lineRule="auto"/>
              <w:contextualSpacing/>
              <w:rPr>
                <w:sz w:val="20"/>
                <w:szCs w:val="20"/>
              </w:rPr>
            </w:pPr>
            <w:r w:rsidRPr="00BA2D76">
              <w:rPr>
                <w:sz w:val="20"/>
                <w:szCs w:val="20"/>
              </w:rPr>
              <w:t>South Newfane</w:t>
            </w:r>
          </w:p>
        </w:tc>
        <w:tc>
          <w:tcPr>
            <w:tcW w:w="717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DEDE"/>
            <w:tcMar>
              <w:top w:w="80" w:type="dxa"/>
              <w:left w:w="80" w:type="dxa"/>
              <w:bottom w:w="80" w:type="dxa"/>
              <w:right w:w="80" w:type="dxa"/>
            </w:tcMar>
          </w:tcPr>
          <w:p w14:paraId="3ECA05F9" w14:textId="77777777" w:rsidR="00BA2D76" w:rsidRPr="00BA2D76" w:rsidRDefault="00BA2D76" w:rsidP="00BA2D76">
            <w:pPr>
              <w:pStyle w:val="BasicParagraph"/>
              <w:spacing w:line="240" w:lineRule="auto"/>
              <w:contextualSpacing/>
              <w:rPr>
                <w:sz w:val="20"/>
                <w:szCs w:val="20"/>
              </w:rPr>
            </w:pPr>
            <w:r w:rsidRPr="00BA2D76">
              <w:rPr>
                <w:sz w:val="20"/>
                <w:szCs w:val="20"/>
              </w:rPr>
              <w:t xml:space="preserve">Home sales are lagging, due perhaps to flooding issues; the town may begin to depopulate. </w:t>
            </w:r>
          </w:p>
        </w:tc>
      </w:tr>
    </w:tbl>
    <w:p w14:paraId="26CD7D5C" w14:textId="77777777" w:rsidR="00BE689C" w:rsidRDefault="00BE689C" w:rsidP="00BA2D76">
      <w:pPr>
        <w:pStyle w:val="BasicParagraph"/>
        <w:rPr>
          <w:sz w:val="22"/>
          <w:szCs w:val="22"/>
        </w:rPr>
      </w:pPr>
    </w:p>
    <w:p w14:paraId="1381ED35" w14:textId="77777777" w:rsidR="00BE689C" w:rsidRPr="00BA2D76" w:rsidRDefault="00BE689C" w:rsidP="00BA2D76">
      <w:pPr>
        <w:pStyle w:val="BasicParagraph"/>
        <w:rPr>
          <w:sz w:val="22"/>
          <w:szCs w:val="22"/>
        </w:rPr>
      </w:pPr>
    </w:p>
    <w:p w14:paraId="3ECA05FF" w14:textId="77777777" w:rsidR="00BA2D76" w:rsidRPr="00BA2D76" w:rsidRDefault="00BA2D76" w:rsidP="00BA2D76">
      <w:pPr>
        <w:pStyle w:val="BasicParagraph"/>
        <w:rPr>
          <w:sz w:val="22"/>
          <w:szCs w:val="22"/>
        </w:rPr>
      </w:pPr>
      <w:r w:rsidRPr="00BA2D76">
        <w:rPr>
          <w:rStyle w:val="Heading31"/>
          <w:sz w:val="22"/>
          <w:szCs w:val="22"/>
        </w:rPr>
        <w:t xml:space="preserve">Transportation: </w:t>
      </w:r>
    </w:p>
    <w:p w14:paraId="3ECA0600" w14:textId="77777777" w:rsidR="00BA2D76" w:rsidRPr="00BA2D76" w:rsidRDefault="00BA2D76" w:rsidP="00BA2D76">
      <w:pPr>
        <w:pStyle w:val="BasicParagraph"/>
        <w:rPr>
          <w:sz w:val="22"/>
          <w:szCs w:val="22"/>
        </w:rPr>
      </w:pPr>
    </w:p>
    <w:p w14:paraId="3C40F7A5" w14:textId="6EB10CF4" w:rsidR="00435DB1" w:rsidRPr="00435DB1" w:rsidRDefault="00435DB1" w:rsidP="00435DB1">
      <w:pPr>
        <w:pStyle w:val="BasicParagraph"/>
        <w:rPr>
          <w:sz w:val="22"/>
          <w:szCs w:val="22"/>
        </w:rPr>
      </w:pPr>
      <w:r w:rsidRPr="00435DB1">
        <w:rPr>
          <w:sz w:val="22"/>
          <w:szCs w:val="22"/>
        </w:rPr>
        <w:t>There are 14,17410 miles of maintained public</w:t>
      </w:r>
      <w:r>
        <w:rPr>
          <w:sz w:val="22"/>
          <w:szCs w:val="22"/>
        </w:rPr>
        <w:t xml:space="preserve"> </w:t>
      </w:r>
      <w:r w:rsidRPr="00435DB1">
        <w:rPr>
          <w:sz w:val="22"/>
          <w:szCs w:val="22"/>
        </w:rPr>
        <w:t xml:space="preserve">roadways, including 2,331 of state </w:t>
      </w:r>
      <w:proofErr w:type="gramStart"/>
      <w:r w:rsidRPr="00435DB1">
        <w:rPr>
          <w:sz w:val="22"/>
          <w:szCs w:val="22"/>
        </w:rPr>
        <w:t>highways</w:t>
      </w:r>
      <w:proofErr w:type="gramEnd"/>
    </w:p>
    <w:p w14:paraId="3ECA0601" w14:textId="73DF12B1" w:rsidR="00BA2D76" w:rsidRPr="00BA2D76" w:rsidRDefault="00435DB1" w:rsidP="00435DB1">
      <w:pPr>
        <w:pStyle w:val="BasicParagraph"/>
        <w:rPr>
          <w:sz w:val="22"/>
          <w:szCs w:val="22"/>
        </w:rPr>
      </w:pPr>
      <w:r w:rsidRPr="00435DB1">
        <w:rPr>
          <w:sz w:val="22"/>
          <w:szCs w:val="22"/>
        </w:rPr>
        <w:t>and 378 miles of interstate and 139 Class-1</w:t>
      </w:r>
      <w:r>
        <w:rPr>
          <w:sz w:val="22"/>
          <w:szCs w:val="22"/>
        </w:rPr>
        <w:t xml:space="preserve"> </w:t>
      </w:r>
      <w:r w:rsidRPr="00435DB1">
        <w:rPr>
          <w:sz w:val="22"/>
          <w:szCs w:val="22"/>
        </w:rPr>
        <w:t>town highways in Vermont. The remaining</w:t>
      </w:r>
      <w:r>
        <w:rPr>
          <w:sz w:val="22"/>
          <w:szCs w:val="22"/>
        </w:rPr>
        <w:t xml:space="preserve"> </w:t>
      </w:r>
      <w:r w:rsidRPr="00435DB1">
        <w:rPr>
          <w:sz w:val="22"/>
          <w:szCs w:val="22"/>
        </w:rPr>
        <w:t xml:space="preserve">mileage is </w:t>
      </w:r>
      <w:proofErr w:type="gramStart"/>
      <w:r w:rsidRPr="00435DB1">
        <w:rPr>
          <w:sz w:val="22"/>
          <w:szCs w:val="22"/>
        </w:rPr>
        <w:t>municipally-owned</w:t>
      </w:r>
      <w:proofErr w:type="gramEnd"/>
      <w:r w:rsidRPr="00435DB1">
        <w:rPr>
          <w:sz w:val="22"/>
          <w:szCs w:val="22"/>
        </w:rPr>
        <w:t xml:space="preserve"> and managed.</w:t>
      </w:r>
      <w:r>
        <w:rPr>
          <w:sz w:val="22"/>
          <w:szCs w:val="22"/>
        </w:rPr>
        <w:t xml:space="preserve"> </w:t>
      </w:r>
      <w:r w:rsidRPr="00435DB1">
        <w:rPr>
          <w:sz w:val="22"/>
          <w:szCs w:val="22"/>
        </w:rPr>
        <w:t>Of the state-owned highway system, 806</w:t>
      </w:r>
      <w:r>
        <w:rPr>
          <w:sz w:val="22"/>
          <w:szCs w:val="22"/>
        </w:rPr>
        <w:t xml:space="preserve"> </w:t>
      </w:r>
      <w:r w:rsidRPr="00435DB1">
        <w:rPr>
          <w:sz w:val="22"/>
          <w:szCs w:val="22"/>
        </w:rPr>
        <w:t>miles are federally designated National</w:t>
      </w:r>
      <w:r>
        <w:rPr>
          <w:sz w:val="22"/>
          <w:szCs w:val="22"/>
        </w:rPr>
        <w:t xml:space="preserve"> </w:t>
      </w:r>
      <w:r w:rsidRPr="00435DB1">
        <w:rPr>
          <w:sz w:val="22"/>
          <w:szCs w:val="22"/>
        </w:rPr>
        <w:t>Highway System (NHS)</w:t>
      </w:r>
      <w:r w:rsidR="30C2A27B" w:rsidRPr="6C02880B">
        <w:rPr>
          <w:sz w:val="22"/>
          <w:szCs w:val="22"/>
        </w:rPr>
        <w:t xml:space="preserve"> (</w:t>
      </w:r>
      <w:r w:rsidR="30C2A27B" w:rsidRPr="00D91AA1">
        <w:rPr>
          <w:sz w:val="22"/>
          <w:szCs w:val="22"/>
          <w:highlight w:val="yellow"/>
        </w:rPr>
        <w:t>Figure 21</w:t>
      </w:r>
      <w:r w:rsidR="30C2A27B" w:rsidRPr="6C02880B">
        <w:rPr>
          <w:sz w:val="22"/>
          <w:szCs w:val="22"/>
        </w:rPr>
        <w:t xml:space="preserve">). Transportation systems that run north to south within the State are I-89 (northwestward from White River Junction to the Canadian border, serving both Montpelier and Burlington), I-91 (northward from the Massachusetts border to the Canadian border, connecting Brattleboro, White River Junction, St. Johnsbury, and Newport), and I-93 (northern terminus at I-91 in St. Johnsbury, connecting the northern part of Vermont with New Hampshire). </w:t>
      </w:r>
    </w:p>
    <w:p w14:paraId="3ECA0602" w14:textId="77777777" w:rsidR="00BA2D76" w:rsidRPr="00BA2D76" w:rsidRDefault="00BA2D76" w:rsidP="00BA2D76">
      <w:pPr>
        <w:pStyle w:val="BasicParagraph"/>
        <w:rPr>
          <w:sz w:val="22"/>
          <w:szCs w:val="22"/>
        </w:rPr>
      </w:pPr>
    </w:p>
    <w:p w14:paraId="3ECA0603" w14:textId="77777777" w:rsidR="00BA2D76" w:rsidRPr="00BA2D76" w:rsidRDefault="00BA2D76" w:rsidP="00BA2D76">
      <w:pPr>
        <w:pStyle w:val="BasicParagraph"/>
        <w:rPr>
          <w:sz w:val="22"/>
          <w:szCs w:val="22"/>
        </w:rPr>
      </w:pPr>
      <w:r w:rsidRPr="00BA2D76">
        <w:rPr>
          <w:sz w:val="22"/>
          <w:szCs w:val="22"/>
        </w:rPr>
        <w:t xml:space="preserve">Other significant routes include U.S. Route 5 (running south to north along the eastern border of Vermont, parallel to I-91 for its entire length in the State), U.S. Route 7 (running south to north, along the western border of the State, connecting Burlington, Middlebury, Rutland, and Bennington) and Vermont Route 100 (running south to north almost directly through the center of the State, providing a route along the full length of the Green Mountains). </w:t>
      </w:r>
    </w:p>
    <w:p w14:paraId="3ECA0604" w14:textId="77777777" w:rsidR="00BA2D76" w:rsidRPr="00BA2D76" w:rsidRDefault="00BA2D76" w:rsidP="00BA2D76">
      <w:pPr>
        <w:pStyle w:val="BasicParagraph"/>
        <w:rPr>
          <w:sz w:val="22"/>
          <w:szCs w:val="22"/>
        </w:rPr>
      </w:pPr>
    </w:p>
    <w:p w14:paraId="3ECA0605" w14:textId="77777777" w:rsidR="00BA2D76" w:rsidRPr="00BA2D76" w:rsidRDefault="30C2A27B" w:rsidP="00BA2D76">
      <w:pPr>
        <w:pStyle w:val="BasicParagraph"/>
        <w:rPr>
          <w:sz w:val="22"/>
          <w:szCs w:val="22"/>
        </w:rPr>
      </w:pPr>
      <w:r w:rsidRPr="6C02880B">
        <w:rPr>
          <w:sz w:val="22"/>
          <w:szCs w:val="22"/>
        </w:rPr>
        <w:t xml:space="preserve">East-west routes include U.S. Route 2 (crossing northern Vermont from west to east, and connecting the population centers of Burlington, Montpelier, and St. Johnsbury), U.S. Route 4 (crossing south-central Vermont from west to east, from the New York border in the Town of Fair Haven, through the City of Rutland, and across to Killington and White River Junction), U.S. Route 302 (traveling east from Montpelier and Barre, into New Hampshire and Maine), Vermont Route 9 (running across the southern part of the State from Bennington to Brattleboro), and Vermont Route 105 (crossing the northernmost parts of Vermont and connecting the cities of St. Albans and Newport). </w:t>
      </w:r>
    </w:p>
    <w:p w14:paraId="3ECA0606" w14:textId="322F227A" w:rsidR="00BA2D76" w:rsidRPr="00BA2D76" w:rsidRDefault="00BA2D76" w:rsidP="00BA2D76">
      <w:pPr>
        <w:pStyle w:val="BasicParagraph"/>
        <w:rPr>
          <w:sz w:val="22"/>
          <w:szCs w:val="22"/>
        </w:rPr>
      </w:pPr>
    </w:p>
    <w:p w14:paraId="51F710DE" w14:textId="720A0156" w:rsidR="1C623B93" w:rsidRDefault="1C623B93" w:rsidP="6C02880B">
      <w:pPr>
        <w:pStyle w:val="BasicParagraph"/>
        <w:rPr>
          <w:sz w:val="22"/>
          <w:szCs w:val="22"/>
        </w:rPr>
      </w:pPr>
      <w:r w:rsidRPr="6C02880B">
        <w:rPr>
          <w:sz w:val="22"/>
          <w:szCs w:val="22"/>
        </w:rPr>
        <w:t>Vermont has 520 interstate bridges, 1,835 bridges on state highways, and 1,642 town highway long (over 20’) structures. VTrans also maintains 1,265 short structures, which include bridges and culverts with spans from six to twenty feet, as well as over 50,000 smaller culverts. The state operates 30 Park and Ride lots and has assisted in the development of 66 municipal lots.</w:t>
      </w:r>
    </w:p>
    <w:p w14:paraId="4A48178C" w14:textId="321DF200" w:rsidR="6C02880B" w:rsidRDefault="6C02880B" w:rsidP="6C02880B">
      <w:pPr>
        <w:pStyle w:val="BasicParagraph"/>
        <w:rPr>
          <w:sz w:val="22"/>
          <w:szCs w:val="22"/>
        </w:rPr>
      </w:pPr>
    </w:p>
    <w:p w14:paraId="3ECA0607" w14:textId="50CF0569" w:rsidR="00BA2D76" w:rsidRPr="00BA2D76" w:rsidRDefault="00BA2D76" w:rsidP="00BA2D76">
      <w:pPr>
        <w:pStyle w:val="BasicParagraph"/>
        <w:rPr>
          <w:sz w:val="22"/>
          <w:szCs w:val="22"/>
        </w:rPr>
      </w:pPr>
      <w:r w:rsidRPr="00BA2D76">
        <w:rPr>
          <w:sz w:val="22"/>
          <w:szCs w:val="22"/>
        </w:rPr>
        <w:t xml:space="preserve">A VTrans survey conducted in 2016 found that </w:t>
      </w:r>
      <w:proofErr w:type="gramStart"/>
      <w:r w:rsidRPr="00BA2D76">
        <w:rPr>
          <w:sz w:val="22"/>
          <w:szCs w:val="22"/>
        </w:rPr>
        <w:t>the vast majority of</w:t>
      </w:r>
      <w:proofErr w:type="gramEnd"/>
      <w:r w:rsidRPr="00BA2D76">
        <w:rPr>
          <w:sz w:val="22"/>
          <w:szCs w:val="22"/>
        </w:rPr>
        <w:t xml:space="preserve"> Vermonters (91%) travel in a personal vehicle frequently, with 88% commuting to work in a personal vehicle or carpool. The next largest transportation category was walking, with 45% of respondents walking as a means of transport multiple times per week or month</w:t>
      </w:r>
      <w:r w:rsidRPr="00BA2D76">
        <w:rPr>
          <w:rStyle w:val="Footnote"/>
          <w:sz w:val="22"/>
          <w:szCs w:val="22"/>
          <w:vertAlign w:val="superscript"/>
        </w:rPr>
        <w:footnoteReference w:id="9"/>
      </w:r>
      <w:r w:rsidRPr="00BA2D76">
        <w:rPr>
          <w:sz w:val="22"/>
          <w:szCs w:val="22"/>
        </w:rPr>
        <w:t xml:space="preserve">. Fourteen percent reported biking frequently, while 8% noted frequent use of public transportation. </w:t>
      </w:r>
    </w:p>
    <w:p w14:paraId="4691BD89" w14:textId="7B809610" w:rsidR="2B5F3DD7" w:rsidRDefault="2B5F3DD7" w:rsidP="2B5F3DD7">
      <w:pPr>
        <w:pStyle w:val="BasicParagraph"/>
        <w:rPr>
          <w:sz w:val="22"/>
          <w:szCs w:val="22"/>
        </w:rPr>
      </w:pPr>
    </w:p>
    <w:p w14:paraId="382298B4" w14:textId="6C33D30C" w:rsidR="03BD3581" w:rsidRDefault="4FD997D7" w:rsidP="2B5F3DD7">
      <w:pPr>
        <w:pStyle w:val="BasicParagraph"/>
        <w:rPr>
          <w:sz w:val="22"/>
          <w:szCs w:val="22"/>
        </w:rPr>
      </w:pPr>
      <w:r w:rsidRPr="66B39B54">
        <w:rPr>
          <w:sz w:val="22"/>
          <w:szCs w:val="22"/>
        </w:rPr>
        <w:t>Utilizing the 5-year estimates from the</w:t>
      </w:r>
      <w:r w:rsidR="5CB7CFD1" w:rsidRPr="66B39B54">
        <w:rPr>
          <w:sz w:val="22"/>
          <w:szCs w:val="22"/>
        </w:rPr>
        <w:t xml:space="preserve"> 2021 American Community Survey </w:t>
      </w:r>
      <w:r w:rsidR="4D65F904" w:rsidRPr="66B39B54">
        <w:rPr>
          <w:sz w:val="22"/>
          <w:szCs w:val="22"/>
        </w:rPr>
        <w:t xml:space="preserve">it was found that </w:t>
      </w:r>
      <w:proofErr w:type="gramStart"/>
      <w:r w:rsidR="4D65F904" w:rsidRPr="66B39B54">
        <w:rPr>
          <w:sz w:val="22"/>
          <w:szCs w:val="22"/>
        </w:rPr>
        <w:t>the vast majority of</w:t>
      </w:r>
      <w:proofErr w:type="gramEnd"/>
      <w:r w:rsidR="4D65F904" w:rsidRPr="66B39B54">
        <w:rPr>
          <w:sz w:val="22"/>
          <w:szCs w:val="22"/>
        </w:rPr>
        <w:t xml:space="preserve"> Vermont</w:t>
      </w:r>
      <w:r w:rsidR="31344E65" w:rsidRPr="66B39B54">
        <w:rPr>
          <w:sz w:val="22"/>
          <w:szCs w:val="22"/>
        </w:rPr>
        <w:t xml:space="preserve"> workers over the age of 16 </w:t>
      </w:r>
      <w:r w:rsidR="4D65F904" w:rsidRPr="66B39B54">
        <w:rPr>
          <w:sz w:val="22"/>
          <w:szCs w:val="22"/>
        </w:rPr>
        <w:t xml:space="preserve">(82%) </w:t>
      </w:r>
      <w:r w:rsidR="2F3C2520" w:rsidRPr="66B39B54">
        <w:rPr>
          <w:sz w:val="22"/>
          <w:szCs w:val="22"/>
        </w:rPr>
        <w:t xml:space="preserve">commute to work in a personal vehicle or by carpooling. The next largest transportation category was walking, with </w:t>
      </w:r>
      <w:r w:rsidR="4D60CF00" w:rsidRPr="66B39B54">
        <w:rPr>
          <w:sz w:val="22"/>
          <w:szCs w:val="22"/>
        </w:rPr>
        <w:t>4% of respondents walking as a primary means of transportation to work. 1</w:t>
      </w:r>
      <w:r w:rsidR="47110ECD" w:rsidRPr="66B39B54">
        <w:rPr>
          <w:sz w:val="22"/>
          <w:szCs w:val="22"/>
        </w:rPr>
        <w:t xml:space="preserve">% reported using public transit and </w:t>
      </w:r>
      <w:r w:rsidR="3A0BB466" w:rsidRPr="66B39B54">
        <w:rPr>
          <w:sz w:val="22"/>
          <w:szCs w:val="22"/>
        </w:rPr>
        <w:t>2% reported biking as the main method to commute to work. All while 12% reported that they were primarily working from home and not commuting to work</w:t>
      </w:r>
      <w:r w:rsidR="03BD3581" w:rsidRPr="66B39B54">
        <w:rPr>
          <w:rStyle w:val="FootnoteReference"/>
          <w:sz w:val="22"/>
          <w:szCs w:val="22"/>
        </w:rPr>
        <w:footnoteReference w:id="10"/>
      </w:r>
      <w:r w:rsidR="3A0BB466" w:rsidRPr="66B39B54">
        <w:rPr>
          <w:sz w:val="22"/>
          <w:szCs w:val="22"/>
        </w:rPr>
        <w:t xml:space="preserve">. </w:t>
      </w:r>
    </w:p>
    <w:p w14:paraId="3ECA0608" w14:textId="77777777" w:rsidR="00BA2D76" w:rsidRPr="00BA2D76" w:rsidRDefault="00BA2D76" w:rsidP="00BA2D76">
      <w:pPr>
        <w:pStyle w:val="BasicParagraph"/>
        <w:rPr>
          <w:sz w:val="22"/>
          <w:szCs w:val="22"/>
        </w:rPr>
      </w:pPr>
    </w:p>
    <w:p w14:paraId="3ECA0609" w14:textId="28B07833" w:rsidR="00BA2D76" w:rsidRPr="00BA2D76" w:rsidRDefault="30C2A27B" w:rsidP="00BA2D76">
      <w:pPr>
        <w:pStyle w:val="BasicParagraph"/>
        <w:rPr>
          <w:sz w:val="22"/>
          <w:szCs w:val="22"/>
        </w:rPr>
      </w:pPr>
      <w:r w:rsidRPr="00BA2D76">
        <w:rPr>
          <w:sz w:val="22"/>
          <w:szCs w:val="22"/>
        </w:rPr>
        <w:t>Vermont is served by Burlington International Airport (BTV)</w:t>
      </w:r>
      <w:r w:rsidR="14B625F6" w:rsidRPr="00BA2D76">
        <w:rPr>
          <w:sz w:val="22"/>
          <w:szCs w:val="22"/>
        </w:rPr>
        <w:t xml:space="preserve"> as its main commercial airport, with Rutland-Southern Regional Airport (RUT) </w:t>
      </w:r>
      <w:r w:rsidR="5FA405CD" w:rsidRPr="00BA2D76">
        <w:rPr>
          <w:sz w:val="22"/>
          <w:szCs w:val="22"/>
        </w:rPr>
        <w:t>acting as a non-primary commercial airport</w:t>
      </w:r>
      <w:r w:rsidRPr="00BA2D76">
        <w:rPr>
          <w:sz w:val="22"/>
          <w:szCs w:val="22"/>
        </w:rPr>
        <w:t xml:space="preserve">. </w:t>
      </w:r>
      <w:r w:rsidR="4C044481" w:rsidRPr="00BA2D76">
        <w:rPr>
          <w:sz w:val="22"/>
          <w:szCs w:val="22"/>
        </w:rPr>
        <w:t xml:space="preserve">Vermont maintains 16 public airports, 10 of which are owned by the state. </w:t>
      </w:r>
      <w:r w:rsidRPr="00BA2D76">
        <w:rPr>
          <w:sz w:val="22"/>
          <w:szCs w:val="22"/>
        </w:rPr>
        <w:t>Vermont has eleven different bus companies (</w:t>
      </w:r>
      <w:r w:rsidRPr="00BE40FE">
        <w:rPr>
          <w:sz w:val="22"/>
          <w:szCs w:val="22"/>
          <w:highlight w:val="yellow"/>
        </w:rPr>
        <w:t>Figure 22</w:t>
      </w:r>
      <w:r w:rsidRPr="00BA2D76">
        <w:rPr>
          <w:sz w:val="22"/>
          <w:szCs w:val="22"/>
        </w:rPr>
        <w:t xml:space="preserve">), two ferry companies </w:t>
      </w:r>
      <w:r w:rsidR="06BA0CD6" w:rsidRPr="00BA2D76">
        <w:rPr>
          <w:sz w:val="22"/>
          <w:szCs w:val="22"/>
        </w:rPr>
        <w:t xml:space="preserve">(Lake Champlain Transportation Co. </w:t>
      </w:r>
      <w:r w:rsidR="27EBCC5F" w:rsidRPr="00BA2D76">
        <w:rPr>
          <w:sz w:val="22"/>
          <w:szCs w:val="22"/>
        </w:rPr>
        <w:t xml:space="preserve">and Fort Ticonderoga Ferry) and </w:t>
      </w:r>
      <w:r w:rsidRPr="00BA2D76">
        <w:rPr>
          <w:sz w:val="22"/>
          <w:szCs w:val="22"/>
        </w:rPr>
        <w:t>three rail service lines throughout the State. The State of Vermont also has a program called Go Vermont</w:t>
      </w:r>
      <w:r w:rsidR="00BA2D76" w:rsidRPr="00BA2D76">
        <w:rPr>
          <w:rStyle w:val="Footnote"/>
          <w:sz w:val="22"/>
          <w:szCs w:val="22"/>
          <w:vertAlign w:val="superscript"/>
        </w:rPr>
        <w:footnoteReference w:id="11"/>
      </w:r>
      <w:r w:rsidRPr="00BA2D76">
        <w:rPr>
          <w:sz w:val="22"/>
          <w:szCs w:val="22"/>
        </w:rPr>
        <w:t>, which is a resource for travelers who want to reduce the cost and environmental impact of driving. It provides information on bus routes, biking, or walking and features a free carpool/vanpool matching service and ridesharing tips. The State is served by Amtrak’s Vermonter and Ethan Allen Express passenger lines, the New England Central Railroad, the Vermont Railway, and the Green Mountain Railroad. The Ethan Allen Express serves Rutland</w:t>
      </w:r>
      <w:r w:rsidR="3296804F" w:rsidRPr="00BA2D76">
        <w:rPr>
          <w:sz w:val="22"/>
          <w:szCs w:val="22"/>
        </w:rPr>
        <w:t>,</w:t>
      </w:r>
      <w:r w:rsidRPr="00BA2D76">
        <w:rPr>
          <w:sz w:val="22"/>
          <w:szCs w:val="22"/>
        </w:rPr>
        <w:t xml:space="preserve"> Castleton</w:t>
      </w:r>
      <w:r w:rsidR="63229810" w:rsidRPr="00BA2D76">
        <w:rPr>
          <w:sz w:val="22"/>
          <w:szCs w:val="22"/>
        </w:rPr>
        <w:t xml:space="preserve"> Middlebury, Vergennes, and Burlington</w:t>
      </w:r>
      <w:r w:rsidRPr="00BA2D76">
        <w:rPr>
          <w:sz w:val="22"/>
          <w:szCs w:val="22"/>
        </w:rPr>
        <w:t>, while the Vermonter serves Saint Albans, Essex Junction, Waterbury, Montpelier, Randolph, White River Junction, Windsor, Bellows Falls, and Brattleboro, with a planned extension to Canada</w:t>
      </w:r>
      <w:r w:rsidR="7129E3A5" w:rsidRPr="00BA2D76">
        <w:rPr>
          <w:sz w:val="22"/>
          <w:szCs w:val="22"/>
        </w:rPr>
        <w:t xml:space="preserve"> terminating at Montreal</w:t>
      </w:r>
      <w:r w:rsidRPr="00BA2D76">
        <w:rPr>
          <w:sz w:val="22"/>
          <w:szCs w:val="22"/>
        </w:rPr>
        <w:t xml:space="preserve">. </w:t>
      </w:r>
      <w:r w:rsidR="78887F86" w:rsidRPr="00BA2D76">
        <w:rPr>
          <w:sz w:val="22"/>
          <w:szCs w:val="22"/>
        </w:rPr>
        <w:t xml:space="preserve">Vermont possesses 578 miles of active rail lines 305 miles of which are owned by the </w:t>
      </w:r>
      <w:r w:rsidR="00483409">
        <w:rPr>
          <w:sz w:val="22"/>
          <w:szCs w:val="22"/>
        </w:rPr>
        <w:t>S</w:t>
      </w:r>
      <w:r w:rsidR="78887F86" w:rsidRPr="00BA2D76">
        <w:rPr>
          <w:sz w:val="22"/>
          <w:szCs w:val="22"/>
        </w:rPr>
        <w:t xml:space="preserve">tate. </w:t>
      </w:r>
    </w:p>
    <w:p w14:paraId="3ECA060A" w14:textId="77777777" w:rsidR="00BA2D76" w:rsidRPr="00BA2D76" w:rsidRDefault="00BA2D76" w:rsidP="00BA2D76">
      <w:pPr>
        <w:pStyle w:val="BasicParagraph"/>
        <w:rPr>
          <w:sz w:val="22"/>
          <w:szCs w:val="22"/>
        </w:rPr>
      </w:pPr>
    </w:p>
    <w:p w14:paraId="3ECA060B" w14:textId="1C1D90EF" w:rsidR="00BA2D76" w:rsidRPr="00BA2D76" w:rsidRDefault="0049116A" w:rsidP="00BA2D76">
      <w:pPr>
        <w:pStyle w:val="BasicParagraph"/>
        <w:rPr>
          <w:sz w:val="22"/>
          <w:szCs w:val="22"/>
        </w:rPr>
      </w:pPr>
      <w:r>
        <w:rPr>
          <w:rStyle w:val="Heading31"/>
          <w:sz w:val="22"/>
          <w:szCs w:val="22"/>
        </w:rPr>
        <w:t xml:space="preserve">Vulnerable Populations </w:t>
      </w:r>
      <w:r w:rsidR="00835099">
        <w:rPr>
          <w:rStyle w:val="Heading31"/>
          <w:sz w:val="22"/>
          <w:szCs w:val="22"/>
        </w:rPr>
        <w:t>&amp;</w:t>
      </w:r>
      <w:r>
        <w:rPr>
          <w:rStyle w:val="Heading31"/>
          <w:sz w:val="22"/>
          <w:szCs w:val="22"/>
        </w:rPr>
        <w:t xml:space="preserve"> </w:t>
      </w:r>
      <w:r w:rsidR="001E234B">
        <w:rPr>
          <w:rStyle w:val="Heading31"/>
          <w:sz w:val="22"/>
          <w:szCs w:val="22"/>
        </w:rPr>
        <w:t>Frontline Communities</w:t>
      </w:r>
      <w:r w:rsidR="00BA2D76" w:rsidRPr="0D862754">
        <w:rPr>
          <w:rStyle w:val="Heading31"/>
          <w:sz w:val="22"/>
          <w:szCs w:val="22"/>
        </w:rPr>
        <w:t xml:space="preserve">: </w:t>
      </w:r>
    </w:p>
    <w:p w14:paraId="3ECA060C" w14:textId="77777777" w:rsidR="00BA2D76" w:rsidRPr="00BA2D76" w:rsidRDefault="00BA2D76" w:rsidP="00BA2D76">
      <w:pPr>
        <w:pStyle w:val="BasicParagraph"/>
        <w:rPr>
          <w:sz w:val="22"/>
          <w:szCs w:val="22"/>
        </w:rPr>
      </w:pPr>
    </w:p>
    <w:p w14:paraId="3E1E74FE" w14:textId="6521CEC5" w:rsidR="00BA2D76" w:rsidRPr="00BA2D76" w:rsidRDefault="7139E9D6" w:rsidP="4CA3EB60">
      <w:pPr>
        <w:pStyle w:val="BasicParagraph"/>
        <w:rPr>
          <w:sz w:val="22"/>
          <w:szCs w:val="22"/>
        </w:rPr>
      </w:pPr>
      <w:r w:rsidRPr="00BA2D76">
        <w:rPr>
          <w:sz w:val="22"/>
          <w:szCs w:val="22"/>
        </w:rPr>
        <w:t>Natural hazards can affect everyone in Vermont, but some populations may be more vulnerable to certain types of events</w:t>
      </w:r>
      <w:r w:rsidR="58945FA4" w:rsidRPr="00BA2D76">
        <w:rPr>
          <w:sz w:val="22"/>
          <w:szCs w:val="22"/>
        </w:rPr>
        <w:t>,</w:t>
      </w:r>
      <w:r w:rsidRPr="00BA2D76">
        <w:rPr>
          <w:sz w:val="22"/>
          <w:szCs w:val="22"/>
        </w:rPr>
        <w:t xml:space="preserve"> or more significantly impacted during events. </w:t>
      </w:r>
      <w:r w:rsidR="33B1C19B" w:rsidRPr="00BA2D76">
        <w:rPr>
          <w:sz w:val="22"/>
          <w:szCs w:val="22"/>
        </w:rPr>
        <w:t xml:space="preserve">It is crucial to consider </w:t>
      </w:r>
      <w:r w:rsidR="167AB521" w:rsidRPr="00BA2D76">
        <w:rPr>
          <w:sz w:val="22"/>
          <w:szCs w:val="22"/>
        </w:rPr>
        <w:t xml:space="preserve">populations </w:t>
      </w:r>
      <w:r w:rsidR="33B1C19B" w:rsidRPr="00BA2D76">
        <w:rPr>
          <w:sz w:val="22"/>
          <w:szCs w:val="22"/>
        </w:rPr>
        <w:t xml:space="preserve">who may have limited access to information and resources due to </w:t>
      </w:r>
      <w:r w:rsidR="6672CF81" w:rsidRPr="00BA2D76">
        <w:rPr>
          <w:sz w:val="22"/>
          <w:szCs w:val="22"/>
        </w:rPr>
        <w:t xml:space="preserve">demographic barriers. </w:t>
      </w:r>
      <w:r w:rsidRPr="00BA2D76">
        <w:rPr>
          <w:sz w:val="22"/>
          <w:szCs w:val="22"/>
        </w:rPr>
        <w:t>The Social Vulnerability Index (SVI)</w:t>
      </w:r>
      <w:r w:rsidR="00BA2D76" w:rsidRPr="00BA2D76">
        <w:rPr>
          <w:rStyle w:val="Footnote"/>
          <w:sz w:val="22"/>
          <w:szCs w:val="22"/>
          <w:vertAlign w:val="superscript"/>
        </w:rPr>
        <w:footnoteReference w:id="12"/>
      </w:r>
      <w:r w:rsidRPr="00BA2D76">
        <w:rPr>
          <w:sz w:val="22"/>
          <w:szCs w:val="22"/>
        </w:rPr>
        <w:t xml:space="preserve"> defines overall vulnerability by summarizing four themes: socioeconomic status, household composition and disability, minority status and language, and housing and transportation. </w:t>
      </w:r>
      <w:r w:rsidRPr="00BE40FE">
        <w:rPr>
          <w:sz w:val="22"/>
          <w:szCs w:val="22"/>
          <w:highlight w:val="yellow"/>
        </w:rPr>
        <w:t xml:space="preserve">Figure </w:t>
      </w:r>
      <w:r w:rsidRPr="00861F6B">
        <w:rPr>
          <w:sz w:val="22"/>
          <w:szCs w:val="22"/>
          <w:highlight w:val="yellow"/>
        </w:rPr>
        <w:t>23</w:t>
      </w:r>
      <w:r w:rsidRPr="00BA2D76">
        <w:rPr>
          <w:sz w:val="22"/>
          <w:szCs w:val="22"/>
        </w:rPr>
        <w:t xml:space="preserve"> depicts this overall score by census block, broken into four relative categories of overall vulnerability. </w:t>
      </w:r>
      <w:r w:rsidR="2C3B4103" w:rsidRPr="00BA2D76">
        <w:rPr>
          <w:sz w:val="22"/>
          <w:szCs w:val="22"/>
        </w:rPr>
        <w:t xml:space="preserve">In addition to social vulnerability and the impact on people, vulnerability will also be considered within the realm of the built environment, the natural environment, and the economy, which may vary </w:t>
      </w:r>
      <w:r w:rsidR="149FCB4D" w:rsidRPr="00BA2D76">
        <w:rPr>
          <w:sz w:val="22"/>
          <w:szCs w:val="22"/>
        </w:rPr>
        <w:t xml:space="preserve">with each subsequent hazard. </w:t>
      </w:r>
      <w:r w:rsidR="024C9ABD" w:rsidRPr="00BA2D76">
        <w:rPr>
          <w:sz w:val="22"/>
          <w:szCs w:val="22"/>
        </w:rPr>
        <w:t>These categories are defined below under the</w:t>
      </w:r>
      <w:r w:rsidR="43D2D00E" w:rsidRPr="00BA2D76">
        <w:rPr>
          <w:sz w:val="22"/>
          <w:szCs w:val="22"/>
        </w:rPr>
        <w:t xml:space="preserve"> </w:t>
      </w:r>
      <w:r w:rsidR="15606DE0" w:rsidRPr="00BA2D76">
        <w:rPr>
          <w:sz w:val="22"/>
          <w:szCs w:val="22"/>
        </w:rPr>
        <w:t xml:space="preserve">“Hazard Impacts” section </w:t>
      </w:r>
      <w:r w:rsidR="350D5E98" w:rsidRPr="00BA2D76">
        <w:rPr>
          <w:sz w:val="22"/>
          <w:szCs w:val="22"/>
        </w:rPr>
        <w:t xml:space="preserve">as they will be considered within each subsequent hazard profile. </w:t>
      </w:r>
      <w:r w:rsidR="6B94A846" w:rsidRPr="00BA2D76">
        <w:rPr>
          <w:sz w:val="22"/>
          <w:szCs w:val="22"/>
        </w:rPr>
        <w:t xml:space="preserve">While many defining factors of vulnerability may overlap between hazards, </w:t>
      </w:r>
      <w:r w:rsidR="1E556C22" w:rsidRPr="00BA2D76">
        <w:rPr>
          <w:sz w:val="22"/>
          <w:szCs w:val="22"/>
        </w:rPr>
        <w:t>specific variables significant to each hazard will be discussed in its profile, as well as in Section 5</w:t>
      </w:r>
      <w:r w:rsidR="2707C248" w:rsidRPr="00BA2D76">
        <w:rPr>
          <w:sz w:val="22"/>
          <w:szCs w:val="22"/>
        </w:rPr>
        <w:t>.</w:t>
      </w:r>
    </w:p>
    <w:p w14:paraId="5B950C40" w14:textId="2E4495F9" w:rsidR="4CA3EB60" w:rsidRDefault="4CA3EB60" w:rsidP="4CA3EB60">
      <w:pPr>
        <w:pStyle w:val="BasicParagraph"/>
        <w:rPr>
          <w:sz w:val="22"/>
          <w:szCs w:val="22"/>
        </w:rPr>
      </w:pPr>
    </w:p>
    <w:p w14:paraId="3ECA060F" w14:textId="1487BF87" w:rsidR="00BA2D76" w:rsidRPr="00BA2D76" w:rsidRDefault="7139E9D6" w:rsidP="00BA2D76">
      <w:pPr>
        <w:pStyle w:val="BasicParagraph"/>
        <w:rPr>
          <w:sz w:val="22"/>
          <w:szCs w:val="22"/>
        </w:rPr>
      </w:pPr>
      <w:r w:rsidRPr="2948F158">
        <w:rPr>
          <w:sz w:val="22"/>
          <w:szCs w:val="22"/>
        </w:rPr>
        <w:t xml:space="preserve">Vermonters over the age of 65 is a specific </w:t>
      </w:r>
      <w:r w:rsidR="055FED20" w:rsidRPr="2948F158">
        <w:rPr>
          <w:sz w:val="22"/>
          <w:szCs w:val="22"/>
        </w:rPr>
        <w:t xml:space="preserve">social </w:t>
      </w:r>
      <w:r w:rsidRPr="2948F158">
        <w:rPr>
          <w:sz w:val="22"/>
          <w:szCs w:val="22"/>
        </w:rPr>
        <w:t xml:space="preserve">demographic that is potentially more vulnerable to certain events, such as extreme heat. </w:t>
      </w:r>
      <w:r w:rsidR="1CB9DC24" w:rsidRPr="2948F158">
        <w:rPr>
          <w:sz w:val="22"/>
          <w:szCs w:val="22"/>
        </w:rPr>
        <w:t xml:space="preserve">According to the 2021 ACS, 20.6% of Vermont was over the age of 65, above the national average of 16.8%. </w:t>
      </w:r>
      <w:r w:rsidR="771DBF6B" w:rsidRPr="2948F158">
        <w:rPr>
          <w:sz w:val="22"/>
          <w:szCs w:val="22"/>
        </w:rPr>
        <w:t>Populations over 65 years of age account for a fifth of Vermont’s total population,</w:t>
      </w:r>
      <w:r w:rsidR="7D2C2084" w:rsidRPr="2948F158">
        <w:rPr>
          <w:sz w:val="22"/>
          <w:szCs w:val="22"/>
        </w:rPr>
        <w:t xml:space="preserve"> meaning a large portion of the </w:t>
      </w:r>
      <w:r w:rsidR="006B0AF8">
        <w:rPr>
          <w:sz w:val="22"/>
          <w:szCs w:val="22"/>
        </w:rPr>
        <w:t>S</w:t>
      </w:r>
      <w:r w:rsidR="7D2C2084" w:rsidRPr="2948F158">
        <w:rPr>
          <w:sz w:val="22"/>
          <w:szCs w:val="22"/>
        </w:rPr>
        <w:t>tate could be particularly more vulnerable to hazard</w:t>
      </w:r>
      <w:r w:rsidR="092F8450" w:rsidRPr="2948F158">
        <w:rPr>
          <w:sz w:val="22"/>
          <w:szCs w:val="22"/>
        </w:rPr>
        <w:t xml:space="preserve"> events</w:t>
      </w:r>
      <w:r w:rsidR="7D2C2084" w:rsidRPr="2948F158">
        <w:rPr>
          <w:sz w:val="22"/>
          <w:szCs w:val="22"/>
        </w:rPr>
        <w:t xml:space="preserve">. </w:t>
      </w:r>
      <w:r w:rsidRPr="00BE40FE">
        <w:rPr>
          <w:sz w:val="22"/>
          <w:szCs w:val="22"/>
          <w:highlight w:val="yellow"/>
        </w:rPr>
        <w:t xml:space="preserve">Figure </w:t>
      </w:r>
      <w:r w:rsidRPr="00502B04">
        <w:rPr>
          <w:sz w:val="22"/>
          <w:szCs w:val="22"/>
          <w:highlight w:val="yellow"/>
        </w:rPr>
        <w:t>24</w:t>
      </w:r>
      <w:r w:rsidRPr="2948F158">
        <w:rPr>
          <w:sz w:val="22"/>
          <w:szCs w:val="22"/>
        </w:rPr>
        <w:t xml:space="preserve"> the percent population over 65 by county, with the most significant population in Essex County (23%, 1,408 people).</w:t>
      </w:r>
      <w:r w:rsidR="1C89163A" w:rsidRPr="2948F158">
        <w:rPr>
          <w:sz w:val="22"/>
          <w:szCs w:val="22"/>
        </w:rPr>
        <w:t xml:space="preserve"> </w:t>
      </w:r>
    </w:p>
    <w:p w14:paraId="3ECA0610" w14:textId="77777777" w:rsidR="00BA2D76" w:rsidRPr="00BA2D76" w:rsidRDefault="00BA2D76" w:rsidP="00BA2D76">
      <w:pPr>
        <w:pStyle w:val="BasicParagraph"/>
        <w:rPr>
          <w:sz w:val="22"/>
          <w:szCs w:val="22"/>
        </w:rPr>
      </w:pPr>
    </w:p>
    <w:p w14:paraId="0124C78A" w14:textId="01ED4A68" w:rsidR="00BA2D76" w:rsidRDefault="7139E9D6" w:rsidP="7F6951EA">
      <w:pPr>
        <w:pStyle w:val="BasicParagraph"/>
        <w:rPr>
          <w:sz w:val="22"/>
          <w:szCs w:val="22"/>
        </w:rPr>
      </w:pPr>
      <w:r w:rsidRPr="00BA2D76">
        <w:rPr>
          <w:sz w:val="22"/>
          <w:szCs w:val="22"/>
        </w:rPr>
        <w:t xml:space="preserve">Vulnerability can also be economic. </w:t>
      </w:r>
      <w:r w:rsidR="3A7E2E5B" w:rsidRPr="00BA2D76">
        <w:rPr>
          <w:sz w:val="22"/>
          <w:szCs w:val="22"/>
        </w:rPr>
        <w:t xml:space="preserve">Based on estimates from the ACS, </w:t>
      </w:r>
      <w:r w:rsidRPr="00BA2D76">
        <w:rPr>
          <w:sz w:val="22"/>
          <w:szCs w:val="22"/>
        </w:rPr>
        <w:t>Vermont’s median household income was estimated at $</w:t>
      </w:r>
      <w:r w:rsidR="590E6869" w:rsidRPr="00BA2D76">
        <w:rPr>
          <w:sz w:val="22"/>
          <w:szCs w:val="22"/>
        </w:rPr>
        <w:t>72,431</w:t>
      </w:r>
      <w:r w:rsidRPr="00BA2D76">
        <w:rPr>
          <w:sz w:val="22"/>
          <w:szCs w:val="22"/>
        </w:rPr>
        <w:t xml:space="preserve"> in 20</w:t>
      </w:r>
      <w:r w:rsidR="2082990D" w:rsidRPr="00BA2D76">
        <w:rPr>
          <w:sz w:val="22"/>
          <w:szCs w:val="22"/>
        </w:rPr>
        <w:t>21</w:t>
      </w:r>
      <w:r w:rsidRPr="00BA2D76">
        <w:rPr>
          <w:sz w:val="22"/>
          <w:szCs w:val="22"/>
        </w:rPr>
        <w:t>, slightly above the national average of $</w:t>
      </w:r>
      <w:r w:rsidR="02C1F2D6" w:rsidRPr="00BA2D76">
        <w:rPr>
          <w:sz w:val="22"/>
          <w:szCs w:val="22"/>
        </w:rPr>
        <w:t>69,717</w:t>
      </w:r>
      <w:r w:rsidRPr="00BA2D76">
        <w:rPr>
          <w:sz w:val="22"/>
          <w:szCs w:val="22"/>
        </w:rPr>
        <w:t>. To better account for cost of living in Vermont, Vermont’s Joint Fiscal Office develops a report biennially that determines a livable hourly wage for Vermonters</w:t>
      </w:r>
      <w:r w:rsidR="00BA2D76" w:rsidRPr="00BA2D76">
        <w:rPr>
          <w:rStyle w:val="Footnote"/>
          <w:sz w:val="22"/>
          <w:szCs w:val="22"/>
          <w:vertAlign w:val="superscript"/>
        </w:rPr>
        <w:footnoteReference w:id="13"/>
      </w:r>
      <w:r w:rsidRPr="00BA2D76">
        <w:rPr>
          <w:sz w:val="22"/>
          <w:szCs w:val="22"/>
        </w:rPr>
        <w:t xml:space="preserve">. This analysis estimates how much an individual would need to make, at a minimum, </w:t>
      </w:r>
      <w:proofErr w:type="gramStart"/>
      <w:r w:rsidRPr="00BA2D76">
        <w:rPr>
          <w:sz w:val="22"/>
          <w:szCs w:val="22"/>
        </w:rPr>
        <w:t>in order to</w:t>
      </w:r>
      <w:proofErr w:type="gramEnd"/>
      <w:r w:rsidRPr="00BA2D76">
        <w:rPr>
          <w:sz w:val="22"/>
          <w:szCs w:val="22"/>
        </w:rPr>
        <w:t xml:space="preserve"> live in Vermont based on a variety of family configurations and assuming employer-sponsored healthcare. The overall livable wage rate in 20</w:t>
      </w:r>
      <w:r w:rsidR="633B2112" w:rsidRPr="00BA2D76">
        <w:rPr>
          <w:sz w:val="22"/>
          <w:szCs w:val="22"/>
        </w:rPr>
        <w:t xml:space="preserve">22 </w:t>
      </w:r>
      <w:r w:rsidRPr="00BA2D76">
        <w:rPr>
          <w:sz w:val="22"/>
          <w:szCs w:val="22"/>
        </w:rPr>
        <w:t>was defined as $</w:t>
      </w:r>
      <w:r w:rsidR="1B7EB98D" w:rsidRPr="00BA2D76">
        <w:rPr>
          <w:sz w:val="22"/>
          <w:szCs w:val="22"/>
        </w:rPr>
        <w:t>31,886</w:t>
      </w:r>
      <w:r w:rsidRPr="00BA2D76">
        <w:rPr>
          <w:sz w:val="22"/>
          <w:szCs w:val="22"/>
        </w:rPr>
        <w:t xml:space="preserve"> in individual income for a full-time worker in a two-person household without children. That equates to a household income of $</w:t>
      </w:r>
      <w:r w:rsidR="3727A53E" w:rsidRPr="00BA2D76">
        <w:rPr>
          <w:sz w:val="22"/>
          <w:szCs w:val="22"/>
        </w:rPr>
        <w:t>63,773</w:t>
      </w:r>
      <w:r w:rsidRPr="00BA2D76">
        <w:rPr>
          <w:sz w:val="22"/>
          <w:szCs w:val="22"/>
        </w:rPr>
        <w:t xml:space="preserve">, which is </w:t>
      </w:r>
      <w:r w:rsidR="29F7468E" w:rsidRPr="00BA2D76">
        <w:rPr>
          <w:sz w:val="22"/>
          <w:szCs w:val="22"/>
        </w:rPr>
        <w:t>considerably</w:t>
      </w:r>
      <w:r w:rsidRPr="00BA2D76">
        <w:rPr>
          <w:sz w:val="22"/>
          <w:szCs w:val="22"/>
        </w:rPr>
        <w:t xml:space="preserve"> below the median household income for Vermont</w:t>
      </w:r>
      <w:r w:rsidR="56026277" w:rsidRPr="00BA2D76">
        <w:rPr>
          <w:sz w:val="22"/>
          <w:szCs w:val="22"/>
        </w:rPr>
        <w:t>, but just below the national average median household income.</w:t>
      </w:r>
      <w:r w:rsidRPr="00BA2D76">
        <w:rPr>
          <w:sz w:val="22"/>
          <w:szCs w:val="22"/>
        </w:rPr>
        <w:t xml:space="preserve"> </w:t>
      </w:r>
    </w:p>
    <w:p w14:paraId="43841C28" w14:textId="4F0A601A" w:rsidR="00BA2D76" w:rsidRDefault="00BA2D76" w:rsidP="7F6951EA">
      <w:pPr>
        <w:pStyle w:val="BasicParagraph"/>
        <w:rPr>
          <w:sz w:val="22"/>
          <w:szCs w:val="22"/>
        </w:rPr>
      </w:pPr>
    </w:p>
    <w:p w14:paraId="3ECA0611" w14:textId="334E0E50" w:rsidR="00BA2D76" w:rsidRDefault="7139E9D6" w:rsidP="00BA2D76">
      <w:pPr>
        <w:pStyle w:val="BasicParagraph"/>
        <w:rPr>
          <w:sz w:val="22"/>
          <w:szCs w:val="22"/>
        </w:rPr>
      </w:pPr>
      <w:r w:rsidRPr="00BA2D76">
        <w:rPr>
          <w:sz w:val="22"/>
          <w:szCs w:val="22"/>
        </w:rPr>
        <w:t xml:space="preserve">The below table includes the various household types considered in the report and their corresponding livable wage figures. </w:t>
      </w:r>
      <w:r w:rsidR="7F3B95B2" w:rsidRPr="00BA2D76">
        <w:rPr>
          <w:sz w:val="22"/>
          <w:szCs w:val="22"/>
        </w:rPr>
        <w:t>These figures were calculated assuming a 40-hour week, 52 weeks a year (Hourly Wage X 40 h</w:t>
      </w:r>
      <w:r w:rsidR="3CFB4775" w:rsidRPr="00BA2D76">
        <w:rPr>
          <w:sz w:val="22"/>
          <w:szCs w:val="22"/>
        </w:rPr>
        <w:t>ou</w:t>
      </w:r>
      <w:r w:rsidR="7F3B95B2" w:rsidRPr="00BA2D76">
        <w:rPr>
          <w:sz w:val="22"/>
          <w:szCs w:val="22"/>
        </w:rPr>
        <w:t>r</w:t>
      </w:r>
      <w:r w:rsidR="11182E7F" w:rsidRPr="00BA2D76">
        <w:rPr>
          <w:sz w:val="22"/>
          <w:szCs w:val="22"/>
        </w:rPr>
        <w:t>s</w:t>
      </w:r>
      <w:r w:rsidR="7F3B95B2" w:rsidRPr="00BA2D76">
        <w:rPr>
          <w:sz w:val="22"/>
          <w:szCs w:val="22"/>
        </w:rPr>
        <w:t>/w</w:t>
      </w:r>
      <w:r w:rsidR="11182E7F" w:rsidRPr="00BA2D76">
        <w:rPr>
          <w:sz w:val="22"/>
          <w:szCs w:val="22"/>
        </w:rPr>
        <w:t>ee</w:t>
      </w:r>
      <w:r w:rsidR="7F3B95B2" w:rsidRPr="00BA2D76">
        <w:rPr>
          <w:sz w:val="22"/>
          <w:szCs w:val="22"/>
        </w:rPr>
        <w:t>k X 52</w:t>
      </w:r>
      <w:r w:rsidR="5AA11E89" w:rsidRPr="00BA2D76">
        <w:rPr>
          <w:sz w:val="22"/>
          <w:szCs w:val="22"/>
        </w:rPr>
        <w:t xml:space="preserve"> w</w:t>
      </w:r>
      <w:r w:rsidR="2355C898" w:rsidRPr="00BA2D76">
        <w:rPr>
          <w:sz w:val="22"/>
          <w:szCs w:val="22"/>
        </w:rPr>
        <w:t>ee</w:t>
      </w:r>
      <w:r w:rsidR="5AA11E89" w:rsidRPr="00BA2D76">
        <w:rPr>
          <w:sz w:val="22"/>
          <w:szCs w:val="22"/>
        </w:rPr>
        <w:t>k</w:t>
      </w:r>
      <w:r w:rsidR="65D1B59D" w:rsidRPr="00BA2D76">
        <w:rPr>
          <w:sz w:val="22"/>
          <w:szCs w:val="22"/>
        </w:rPr>
        <w:t>s</w:t>
      </w:r>
      <w:r w:rsidR="5AA11E89" w:rsidRPr="00BA2D76">
        <w:rPr>
          <w:sz w:val="22"/>
          <w:szCs w:val="22"/>
        </w:rPr>
        <w:t>/y</w:t>
      </w:r>
      <w:r w:rsidR="65D1B59D" w:rsidRPr="00BA2D76">
        <w:rPr>
          <w:sz w:val="22"/>
          <w:szCs w:val="22"/>
        </w:rPr>
        <w:t>ea</w:t>
      </w:r>
      <w:r w:rsidR="5AA11E89" w:rsidRPr="00BA2D76">
        <w:rPr>
          <w:sz w:val="22"/>
          <w:szCs w:val="22"/>
        </w:rPr>
        <w:t xml:space="preserve">r). </w:t>
      </w:r>
    </w:p>
    <w:p w14:paraId="3ECA0612" w14:textId="77777777" w:rsidR="00BA2D76" w:rsidRDefault="00BA2D76" w:rsidP="00BA2D76">
      <w:pPr>
        <w:pStyle w:val="BasicParagraph"/>
        <w:rPr>
          <w:sz w:val="22"/>
          <w:szCs w:val="22"/>
        </w:rPr>
      </w:pPr>
    </w:p>
    <w:tbl>
      <w:tblPr>
        <w:tblW w:w="10080" w:type="dxa"/>
        <w:tblInd w:w="-10" w:type="dxa"/>
        <w:tblLayout w:type="fixed"/>
        <w:tblCellMar>
          <w:left w:w="0" w:type="dxa"/>
          <w:right w:w="0" w:type="dxa"/>
        </w:tblCellMar>
        <w:tblLook w:val="0000" w:firstRow="0" w:lastRow="0" w:firstColumn="0" w:lastColumn="0" w:noHBand="0" w:noVBand="0"/>
      </w:tblPr>
      <w:tblGrid>
        <w:gridCol w:w="2700"/>
        <w:gridCol w:w="1890"/>
        <w:gridCol w:w="1710"/>
        <w:gridCol w:w="1980"/>
        <w:gridCol w:w="1800"/>
      </w:tblGrid>
      <w:tr w:rsidR="00BA2D76" w14:paraId="3ECA0614" w14:textId="77777777" w:rsidTr="7F6951EA">
        <w:trPr>
          <w:trHeight w:val="25"/>
        </w:trPr>
        <w:tc>
          <w:tcPr>
            <w:tcW w:w="10080" w:type="dxa"/>
            <w:gridSpan w:val="5"/>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34658A"/>
            <w:tcMar>
              <w:top w:w="80" w:type="dxa"/>
              <w:left w:w="80" w:type="dxa"/>
              <w:bottom w:w="80" w:type="dxa"/>
              <w:right w:w="80" w:type="dxa"/>
            </w:tcMar>
          </w:tcPr>
          <w:p w14:paraId="3ECA0613" w14:textId="098CA2A0" w:rsidR="00BA2D76" w:rsidRPr="00BA2D76" w:rsidRDefault="7139E9D6" w:rsidP="2948F158">
            <w:pPr>
              <w:pStyle w:val="Tables"/>
              <w:spacing w:line="240" w:lineRule="auto"/>
              <w:contextualSpacing/>
              <w:rPr>
                <w:b/>
                <w:bCs/>
                <w:color w:val="FFFFFF" w:themeColor="background1"/>
                <w:sz w:val="20"/>
                <w:szCs w:val="20"/>
              </w:rPr>
            </w:pPr>
            <w:r w:rsidRPr="1450A01E">
              <w:rPr>
                <w:b/>
                <w:bCs/>
                <w:color w:val="FFFFFF" w:themeColor="background1"/>
                <w:sz w:val="20"/>
                <w:szCs w:val="20"/>
              </w:rPr>
              <w:t>Table 13: 20</w:t>
            </w:r>
            <w:r w:rsidR="4CC76F7A" w:rsidRPr="1450A01E">
              <w:rPr>
                <w:b/>
                <w:bCs/>
                <w:color w:val="FFFFFF" w:themeColor="background1"/>
                <w:sz w:val="20"/>
                <w:szCs w:val="20"/>
              </w:rPr>
              <w:t>22</w:t>
            </w:r>
            <w:r w:rsidR="4FC7E60D" w:rsidRPr="1450A01E">
              <w:rPr>
                <w:b/>
                <w:bCs/>
                <w:color w:val="FFFFFF" w:themeColor="background1"/>
                <w:sz w:val="20"/>
                <w:szCs w:val="20"/>
              </w:rPr>
              <w:t xml:space="preserve"> </w:t>
            </w:r>
            <w:r w:rsidRPr="1450A01E">
              <w:rPr>
                <w:b/>
                <w:bCs/>
                <w:color w:val="FFFFFF" w:themeColor="background1"/>
                <w:sz w:val="20"/>
                <w:szCs w:val="20"/>
              </w:rPr>
              <w:t>Basic Needs Budget Wages, Per Earner – Vermont’s Basic Needs Budget</w:t>
            </w:r>
          </w:p>
        </w:tc>
      </w:tr>
      <w:tr w:rsidR="00BA2D76" w14:paraId="3ECA061A" w14:textId="77777777" w:rsidTr="7F6951EA">
        <w:trPr>
          <w:trHeight w:val="25"/>
        </w:trPr>
        <w:tc>
          <w:tcPr>
            <w:tcW w:w="27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6BBD8"/>
            <w:tcMar>
              <w:top w:w="80" w:type="dxa"/>
              <w:left w:w="80" w:type="dxa"/>
              <w:bottom w:w="80" w:type="dxa"/>
              <w:right w:w="80" w:type="dxa"/>
            </w:tcMar>
          </w:tcPr>
          <w:p w14:paraId="3ECA0615" w14:textId="77777777" w:rsidR="00BA2D76" w:rsidRPr="00BA2D76" w:rsidRDefault="00BA2D76" w:rsidP="00BA2D76">
            <w:pPr>
              <w:pStyle w:val="BasicParagraph"/>
              <w:spacing w:line="240" w:lineRule="auto"/>
              <w:contextualSpacing/>
              <w:rPr>
                <w:sz w:val="20"/>
                <w:szCs w:val="20"/>
              </w:rPr>
            </w:pPr>
            <w:r w:rsidRPr="00BA2D76">
              <w:rPr>
                <w:b/>
                <w:bCs/>
                <w:sz w:val="20"/>
                <w:szCs w:val="20"/>
              </w:rPr>
              <w:t>Family Type</w:t>
            </w:r>
          </w:p>
        </w:tc>
        <w:tc>
          <w:tcPr>
            <w:tcW w:w="189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6BBD8"/>
            <w:tcMar>
              <w:top w:w="80" w:type="dxa"/>
              <w:left w:w="80" w:type="dxa"/>
              <w:bottom w:w="80" w:type="dxa"/>
              <w:right w:w="80" w:type="dxa"/>
            </w:tcMar>
          </w:tcPr>
          <w:p w14:paraId="3ECA0616" w14:textId="77777777" w:rsidR="00BA2D76" w:rsidRPr="00BA2D76" w:rsidRDefault="00BA2D76" w:rsidP="00BA2D76">
            <w:pPr>
              <w:pStyle w:val="BasicParagraph"/>
              <w:spacing w:line="240" w:lineRule="auto"/>
              <w:contextualSpacing/>
              <w:rPr>
                <w:sz w:val="20"/>
                <w:szCs w:val="20"/>
              </w:rPr>
            </w:pPr>
            <w:r w:rsidRPr="00BA2D76">
              <w:rPr>
                <w:b/>
                <w:bCs/>
                <w:sz w:val="20"/>
                <w:szCs w:val="20"/>
              </w:rPr>
              <w:t>Urban Annual Salary</w:t>
            </w:r>
          </w:p>
        </w:tc>
        <w:tc>
          <w:tcPr>
            <w:tcW w:w="171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6BBD8"/>
            <w:tcMar>
              <w:top w:w="80" w:type="dxa"/>
              <w:left w:w="80" w:type="dxa"/>
              <w:bottom w:w="80" w:type="dxa"/>
              <w:right w:w="80" w:type="dxa"/>
            </w:tcMar>
          </w:tcPr>
          <w:p w14:paraId="3ECA0617" w14:textId="77777777" w:rsidR="00BA2D76" w:rsidRPr="00BA2D76" w:rsidRDefault="00BA2D76" w:rsidP="00BA2D76">
            <w:pPr>
              <w:pStyle w:val="BasicParagraph"/>
              <w:spacing w:line="240" w:lineRule="auto"/>
              <w:contextualSpacing/>
              <w:rPr>
                <w:sz w:val="20"/>
                <w:szCs w:val="20"/>
              </w:rPr>
            </w:pPr>
            <w:r w:rsidRPr="00BA2D76">
              <w:rPr>
                <w:b/>
                <w:bCs/>
                <w:sz w:val="20"/>
                <w:szCs w:val="20"/>
              </w:rPr>
              <w:t>Rural Annual Salary</w:t>
            </w:r>
          </w:p>
        </w:tc>
        <w:tc>
          <w:tcPr>
            <w:tcW w:w="198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6BBD8"/>
            <w:tcMar>
              <w:top w:w="80" w:type="dxa"/>
              <w:left w:w="80" w:type="dxa"/>
              <w:bottom w:w="80" w:type="dxa"/>
              <w:right w:w="80" w:type="dxa"/>
            </w:tcMar>
          </w:tcPr>
          <w:p w14:paraId="3ECA0618" w14:textId="77777777" w:rsidR="00BA2D76" w:rsidRPr="00BA2D76" w:rsidRDefault="00BA2D76" w:rsidP="00BA2D76">
            <w:pPr>
              <w:pStyle w:val="BasicParagraph"/>
              <w:spacing w:line="240" w:lineRule="auto"/>
              <w:contextualSpacing/>
              <w:rPr>
                <w:sz w:val="20"/>
                <w:szCs w:val="20"/>
              </w:rPr>
            </w:pPr>
            <w:r w:rsidRPr="00BA2D76">
              <w:rPr>
                <w:b/>
                <w:bCs/>
                <w:sz w:val="20"/>
                <w:szCs w:val="20"/>
              </w:rPr>
              <w:t>Urban Household Salary</w:t>
            </w:r>
          </w:p>
        </w:tc>
        <w:tc>
          <w:tcPr>
            <w:tcW w:w="18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6BBD8"/>
            <w:tcMar>
              <w:top w:w="80" w:type="dxa"/>
              <w:left w:w="80" w:type="dxa"/>
              <w:bottom w:w="80" w:type="dxa"/>
              <w:right w:w="80" w:type="dxa"/>
            </w:tcMar>
          </w:tcPr>
          <w:p w14:paraId="3ECA0619" w14:textId="77777777" w:rsidR="00BA2D76" w:rsidRDefault="00BA2D76">
            <w:pPr>
              <w:pStyle w:val="BasicParagraph"/>
            </w:pPr>
            <w:r>
              <w:rPr>
                <w:b/>
                <w:bCs/>
                <w:sz w:val="20"/>
                <w:szCs w:val="20"/>
              </w:rPr>
              <w:t>Rural Household Salary</w:t>
            </w:r>
          </w:p>
        </w:tc>
      </w:tr>
      <w:tr w:rsidR="00BA2D76" w14:paraId="3ECA0620" w14:textId="77777777" w:rsidTr="7F6951EA">
        <w:trPr>
          <w:trHeight w:val="25"/>
        </w:trPr>
        <w:tc>
          <w:tcPr>
            <w:tcW w:w="27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6BBD8"/>
            <w:tcMar>
              <w:top w:w="80" w:type="dxa"/>
              <w:left w:w="80" w:type="dxa"/>
              <w:bottom w:w="80" w:type="dxa"/>
              <w:right w:w="80" w:type="dxa"/>
            </w:tcMar>
          </w:tcPr>
          <w:p w14:paraId="3ECA061B" w14:textId="77777777" w:rsidR="00BA2D76" w:rsidRPr="00BA2D76" w:rsidRDefault="00BA2D76" w:rsidP="00BA2D76">
            <w:pPr>
              <w:pStyle w:val="BasicParagraph"/>
              <w:spacing w:line="240" w:lineRule="auto"/>
              <w:contextualSpacing/>
              <w:rPr>
                <w:sz w:val="20"/>
                <w:szCs w:val="20"/>
              </w:rPr>
            </w:pPr>
            <w:r w:rsidRPr="00BA2D76">
              <w:rPr>
                <w:b/>
                <w:bCs/>
                <w:sz w:val="20"/>
                <w:szCs w:val="20"/>
              </w:rPr>
              <w:t>Single Person</w:t>
            </w:r>
          </w:p>
        </w:tc>
        <w:tc>
          <w:tcPr>
            <w:tcW w:w="189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6BBD8"/>
            <w:tcMar>
              <w:top w:w="80" w:type="dxa"/>
              <w:left w:w="80" w:type="dxa"/>
              <w:bottom w:w="80" w:type="dxa"/>
              <w:right w:w="80" w:type="dxa"/>
            </w:tcMar>
          </w:tcPr>
          <w:p w14:paraId="3ECA061C" w14:textId="32EFE587" w:rsidR="00BA2D76" w:rsidRPr="00BA2D76" w:rsidRDefault="00BA2D76" w:rsidP="00BA2D76">
            <w:pPr>
              <w:pStyle w:val="BasicParagraph"/>
              <w:spacing w:line="240" w:lineRule="auto"/>
              <w:contextualSpacing/>
              <w:rPr>
                <w:sz w:val="20"/>
                <w:szCs w:val="20"/>
              </w:rPr>
            </w:pPr>
            <w:r w:rsidRPr="7F6951EA">
              <w:rPr>
                <w:sz w:val="20"/>
                <w:szCs w:val="20"/>
              </w:rPr>
              <w:t>$</w:t>
            </w:r>
            <w:r w:rsidR="3538BF48" w:rsidRPr="7F6951EA">
              <w:rPr>
                <w:sz w:val="20"/>
                <w:szCs w:val="20"/>
              </w:rPr>
              <w:t>41,662.40</w:t>
            </w:r>
          </w:p>
        </w:tc>
        <w:tc>
          <w:tcPr>
            <w:tcW w:w="171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6BBD8"/>
            <w:tcMar>
              <w:top w:w="80" w:type="dxa"/>
              <w:left w:w="80" w:type="dxa"/>
              <w:bottom w:w="80" w:type="dxa"/>
              <w:right w:w="80" w:type="dxa"/>
            </w:tcMar>
          </w:tcPr>
          <w:p w14:paraId="3ECA061D" w14:textId="1F754091" w:rsidR="00BA2D76" w:rsidRPr="00BA2D76" w:rsidRDefault="00BA2D76" w:rsidP="00BA2D76">
            <w:pPr>
              <w:pStyle w:val="BasicParagraph"/>
              <w:spacing w:line="240" w:lineRule="auto"/>
              <w:contextualSpacing/>
              <w:rPr>
                <w:sz w:val="20"/>
                <w:szCs w:val="20"/>
              </w:rPr>
            </w:pPr>
            <w:r w:rsidRPr="7F6951EA">
              <w:rPr>
                <w:sz w:val="20"/>
                <w:szCs w:val="20"/>
              </w:rPr>
              <w:t>$3</w:t>
            </w:r>
            <w:r w:rsidR="34861B5E" w:rsidRPr="7F6951EA">
              <w:rPr>
                <w:sz w:val="20"/>
                <w:szCs w:val="20"/>
              </w:rPr>
              <w:t>9,104.00</w:t>
            </w:r>
          </w:p>
        </w:tc>
        <w:tc>
          <w:tcPr>
            <w:tcW w:w="198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6BBD8"/>
            <w:tcMar>
              <w:top w:w="80" w:type="dxa"/>
              <w:left w:w="80" w:type="dxa"/>
              <w:bottom w:w="80" w:type="dxa"/>
              <w:right w:w="80" w:type="dxa"/>
            </w:tcMar>
          </w:tcPr>
          <w:p w14:paraId="3ECA061E" w14:textId="1D88215D" w:rsidR="00BA2D76" w:rsidRPr="00BA2D76" w:rsidRDefault="00BA2D76" w:rsidP="00BA2D76">
            <w:pPr>
              <w:pStyle w:val="BasicParagraph"/>
              <w:spacing w:line="240" w:lineRule="auto"/>
              <w:contextualSpacing/>
              <w:rPr>
                <w:sz w:val="20"/>
                <w:szCs w:val="20"/>
              </w:rPr>
            </w:pPr>
            <w:r w:rsidRPr="7F6951EA">
              <w:rPr>
                <w:sz w:val="20"/>
                <w:szCs w:val="20"/>
              </w:rPr>
              <w:t>$</w:t>
            </w:r>
            <w:r w:rsidR="031495BD" w:rsidRPr="7F6951EA">
              <w:rPr>
                <w:sz w:val="20"/>
                <w:szCs w:val="20"/>
              </w:rPr>
              <w:t>41,662.40</w:t>
            </w:r>
          </w:p>
        </w:tc>
        <w:tc>
          <w:tcPr>
            <w:tcW w:w="18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6BBD8"/>
            <w:tcMar>
              <w:top w:w="80" w:type="dxa"/>
              <w:left w:w="80" w:type="dxa"/>
              <w:bottom w:w="80" w:type="dxa"/>
              <w:right w:w="80" w:type="dxa"/>
            </w:tcMar>
          </w:tcPr>
          <w:p w14:paraId="3ECA061F" w14:textId="061AF128" w:rsidR="00BA2D76" w:rsidRDefault="00BA2D76" w:rsidP="7F6951EA">
            <w:pPr>
              <w:pStyle w:val="BasicParagraph"/>
              <w:rPr>
                <w:sz w:val="20"/>
                <w:szCs w:val="20"/>
              </w:rPr>
            </w:pPr>
            <w:r w:rsidRPr="7F6951EA">
              <w:rPr>
                <w:sz w:val="20"/>
                <w:szCs w:val="20"/>
              </w:rPr>
              <w:t>$</w:t>
            </w:r>
            <w:r w:rsidR="3E3FCBBA" w:rsidRPr="7F6951EA">
              <w:rPr>
                <w:sz w:val="20"/>
                <w:szCs w:val="20"/>
              </w:rPr>
              <w:t>39,104.00</w:t>
            </w:r>
          </w:p>
        </w:tc>
      </w:tr>
      <w:tr w:rsidR="00BA2D76" w14:paraId="3ECA062C" w14:textId="77777777" w:rsidTr="7F6951EA">
        <w:trPr>
          <w:trHeight w:val="25"/>
        </w:trPr>
        <w:tc>
          <w:tcPr>
            <w:tcW w:w="27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6BBD8"/>
            <w:tcMar>
              <w:top w:w="80" w:type="dxa"/>
              <w:left w:w="80" w:type="dxa"/>
              <w:bottom w:w="80" w:type="dxa"/>
              <w:right w:w="80" w:type="dxa"/>
            </w:tcMar>
          </w:tcPr>
          <w:p w14:paraId="3ECA0627" w14:textId="77777777" w:rsidR="00BA2D76" w:rsidRPr="00BA2D76" w:rsidRDefault="00BA2D76" w:rsidP="00BA2D76">
            <w:pPr>
              <w:pStyle w:val="BasicParagraph"/>
              <w:spacing w:line="240" w:lineRule="auto"/>
              <w:contextualSpacing/>
              <w:rPr>
                <w:sz w:val="20"/>
                <w:szCs w:val="20"/>
              </w:rPr>
            </w:pPr>
            <w:r w:rsidRPr="00BA2D76">
              <w:rPr>
                <w:b/>
                <w:bCs/>
                <w:sz w:val="20"/>
                <w:szCs w:val="20"/>
              </w:rPr>
              <w:t>Single Parent, One Child</w:t>
            </w:r>
          </w:p>
        </w:tc>
        <w:tc>
          <w:tcPr>
            <w:tcW w:w="189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6BBD8"/>
            <w:tcMar>
              <w:top w:w="80" w:type="dxa"/>
              <w:left w:w="80" w:type="dxa"/>
              <w:bottom w:w="80" w:type="dxa"/>
              <w:right w:w="80" w:type="dxa"/>
            </w:tcMar>
          </w:tcPr>
          <w:p w14:paraId="3ECA0628" w14:textId="3ED57450" w:rsidR="00BA2D76" w:rsidRPr="00BA2D76" w:rsidRDefault="00BA2D76" w:rsidP="00BA2D76">
            <w:pPr>
              <w:pStyle w:val="BasicParagraph"/>
              <w:spacing w:line="240" w:lineRule="auto"/>
              <w:contextualSpacing/>
              <w:rPr>
                <w:sz w:val="20"/>
                <w:szCs w:val="20"/>
              </w:rPr>
            </w:pPr>
            <w:r w:rsidRPr="7F6951EA">
              <w:rPr>
                <w:sz w:val="20"/>
                <w:szCs w:val="20"/>
              </w:rPr>
              <w:t>$</w:t>
            </w:r>
            <w:r w:rsidR="17DB80D1" w:rsidRPr="7F6951EA">
              <w:rPr>
                <w:sz w:val="20"/>
                <w:szCs w:val="20"/>
              </w:rPr>
              <w:t>73,840.00</w:t>
            </w:r>
          </w:p>
        </w:tc>
        <w:tc>
          <w:tcPr>
            <w:tcW w:w="171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6BBD8"/>
            <w:tcMar>
              <w:top w:w="80" w:type="dxa"/>
              <w:left w:w="80" w:type="dxa"/>
              <w:bottom w:w="80" w:type="dxa"/>
              <w:right w:w="80" w:type="dxa"/>
            </w:tcMar>
          </w:tcPr>
          <w:p w14:paraId="3ECA0629" w14:textId="3B9D9780" w:rsidR="00BA2D76" w:rsidRPr="00BA2D76" w:rsidRDefault="00BA2D76" w:rsidP="00BA2D76">
            <w:pPr>
              <w:pStyle w:val="BasicParagraph"/>
              <w:spacing w:line="240" w:lineRule="auto"/>
              <w:contextualSpacing/>
              <w:rPr>
                <w:sz w:val="20"/>
                <w:szCs w:val="20"/>
              </w:rPr>
            </w:pPr>
            <w:r w:rsidRPr="7F6951EA">
              <w:rPr>
                <w:sz w:val="20"/>
                <w:szCs w:val="20"/>
              </w:rPr>
              <w:t>$</w:t>
            </w:r>
            <w:r w:rsidR="2789D0A0" w:rsidRPr="7F6951EA">
              <w:rPr>
                <w:sz w:val="20"/>
                <w:szCs w:val="20"/>
              </w:rPr>
              <w:t>64,480.00</w:t>
            </w:r>
          </w:p>
        </w:tc>
        <w:tc>
          <w:tcPr>
            <w:tcW w:w="198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6BBD8"/>
            <w:tcMar>
              <w:top w:w="80" w:type="dxa"/>
              <w:left w:w="80" w:type="dxa"/>
              <w:bottom w:w="80" w:type="dxa"/>
              <w:right w:w="80" w:type="dxa"/>
            </w:tcMar>
          </w:tcPr>
          <w:p w14:paraId="3ECA062A" w14:textId="4653695B" w:rsidR="00BA2D76" w:rsidRPr="00BA2D76" w:rsidRDefault="00BA2D76" w:rsidP="00BA2D76">
            <w:pPr>
              <w:pStyle w:val="BasicParagraph"/>
              <w:spacing w:line="240" w:lineRule="auto"/>
              <w:contextualSpacing/>
              <w:rPr>
                <w:sz w:val="20"/>
                <w:szCs w:val="20"/>
              </w:rPr>
            </w:pPr>
            <w:r w:rsidRPr="7F6951EA">
              <w:rPr>
                <w:sz w:val="20"/>
                <w:szCs w:val="20"/>
              </w:rPr>
              <w:t>$</w:t>
            </w:r>
            <w:r w:rsidR="56F8D3FB" w:rsidRPr="7F6951EA">
              <w:rPr>
                <w:sz w:val="20"/>
                <w:szCs w:val="20"/>
              </w:rPr>
              <w:t>73,840.00</w:t>
            </w:r>
          </w:p>
        </w:tc>
        <w:tc>
          <w:tcPr>
            <w:tcW w:w="18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6BBD8"/>
            <w:tcMar>
              <w:top w:w="80" w:type="dxa"/>
              <w:left w:w="80" w:type="dxa"/>
              <w:bottom w:w="80" w:type="dxa"/>
              <w:right w:w="80" w:type="dxa"/>
            </w:tcMar>
          </w:tcPr>
          <w:p w14:paraId="3ECA062B" w14:textId="2CBB6C5F" w:rsidR="00BA2D76" w:rsidRDefault="00BA2D76" w:rsidP="7F6951EA">
            <w:pPr>
              <w:pStyle w:val="BasicParagraph"/>
              <w:rPr>
                <w:sz w:val="20"/>
                <w:szCs w:val="20"/>
              </w:rPr>
            </w:pPr>
            <w:r w:rsidRPr="7F6951EA">
              <w:rPr>
                <w:sz w:val="20"/>
                <w:szCs w:val="20"/>
              </w:rPr>
              <w:t>$</w:t>
            </w:r>
            <w:r w:rsidR="7DAD3C06" w:rsidRPr="7F6951EA">
              <w:rPr>
                <w:sz w:val="20"/>
                <w:szCs w:val="20"/>
              </w:rPr>
              <w:t>64,480.00</w:t>
            </w:r>
          </w:p>
        </w:tc>
      </w:tr>
      <w:tr w:rsidR="00BA2D76" w14:paraId="3ECA0632" w14:textId="77777777" w:rsidTr="7F6951EA">
        <w:trPr>
          <w:trHeight w:val="25"/>
        </w:trPr>
        <w:tc>
          <w:tcPr>
            <w:tcW w:w="27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6BBD8"/>
            <w:tcMar>
              <w:top w:w="80" w:type="dxa"/>
              <w:left w:w="80" w:type="dxa"/>
              <w:bottom w:w="80" w:type="dxa"/>
              <w:right w:w="80" w:type="dxa"/>
            </w:tcMar>
          </w:tcPr>
          <w:p w14:paraId="3ECA062D" w14:textId="77777777" w:rsidR="00BA2D76" w:rsidRPr="00BA2D76" w:rsidRDefault="00BA2D76" w:rsidP="00BA2D76">
            <w:pPr>
              <w:pStyle w:val="BasicParagraph"/>
              <w:spacing w:line="240" w:lineRule="auto"/>
              <w:contextualSpacing/>
              <w:rPr>
                <w:sz w:val="20"/>
                <w:szCs w:val="20"/>
              </w:rPr>
            </w:pPr>
            <w:r w:rsidRPr="00BA2D76">
              <w:rPr>
                <w:b/>
                <w:bCs/>
                <w:sz w:val="20"/>
                <w:szCs w:val="20"/>
              </w:rPr>
              <w:t>Single Parent, Two Children</w:t>
            </w:r>
          </w:p>
        </w:tc>
        <w:tc>
          <w:tcPr>
            <w:tcW w:w="189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6BBD8"/>
            <w:tcMar>
              <w:top w:w="80" w:type="dxa"/>
              <w:left w:w="80" w:type="dxa"/>
              <w:bottom w:w="80" w:type="dxa"/>
              <w:right w:w="80" w:type="dxa"/>
            </w:tcMar>
          </w:tcPr>
          <w:p w14:paraId="3ECA062E" w14:textId="576454BB" w:rsidR="00BA2D76" w:rsidRPr="00BA2D76" w:rsidRDefault="00BA2D76" w:rsidP="00BA2D76">
            <w:pPr>
              <w:pStyle w:val="BasicParagraph"/>
              <w:spacing w:line="240" w:lineRule="auto"/>
              <w:contextualSpacing/>
              <w:rPr>
                <w:sz w:val="20"/>
                <w:szCs w:val="20"/>
              </w:rPr>
            </w:pPr>
            <w:r w:rsidRPr="7F6951EA">
              <w:rPr>
                <w:sz w:val="20"/>
                <w:szCs w:val="20"/>
              </w:rPr>
              <w:t>$</w:t>
            </w:r>
            <w:r w:rsidR="571C3AF0" w:rsidRPr="7F6951EA">
              <w:rPr>
                <w:sz w:val="20"/>
                <w:szCs w:val="20"/>
              </w:rPr>
              <w:t>95,513.60</w:t>
            </w:r>
          </w:p>
        </w:tc>
        <w:tc>
          <w:tcPr>
            <w:tcW w:w="171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6BBD8"/>
            <w:tcMar>
              <w:top w:w="80" w:type="dxa"/>
              <w:left w:w="80" w:type="dxa"/>
              <w:bottom w:w="80" w:type="dxa"/>
              <w:right w:w="80" w:type="dxa"/>
            </w:tcMar>
          </w:tcPr>
          <w:p w14:paraId="3ECA062F" w14:textId="6641A2AD" w:rsidR="00BA2D76" w:rsidRPr="00BA2D76" w:rsidRDefault="00BA2D76" w:rsidP="00BA2D76">
            <w:pPr>
              <w:pStyle w:val="BasicParagraph"/>
              <w:spacing w:line="240" w:lineRule="auto"/>
              <w:contextualSpacing/>
              <w:rPr>
                <w:sz w:val="20"/>
                <w:szCs w:val="20"/>
              </w:rPr>
            </w:pPr>
            <w:r w:rsidRPr="7F6951EA">
              <w:rPr>
                <w:sz w:val="20"/>
                <w:szCs w:val="20"/>
              </w:rPr>
              <w:t>$</w:t>
            </w:r>
            <w:r w:rsidR="4E985133" w:rsidRPr="7F6951EA">
              <w:rPr>
                <w:sz w:val="20"/>
                <w:szCs w:val="20"/>
              </w:rPr>
              <w:t>82,097.60</w:t>
            </w:r>
          </w:p>
        </w:tc>
        <w:tc>
          <w:tcPr>
            <w:tcW w:w="198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6BBD8"/>
            <w:tcMar>
              <w:top w:w="80" w:type="dxa"/>
              <w:left w:w="80" w:type="dxa"/>
              <w:bottom w:w="80" w:type="dxa"/>
              <w:right w:w="80" w:type="dxa"/>
            </w:tcMar>
          </w:tcPr>
          <w:p w14:paraId="3ECA0630" w14:textId="47064134" w:rsidR="00BA2D76" w:rsidRPr="00BA2D76" w:rsidRDefault="00BA2D76" w:rsidP="00BA2D76">
            <w:pPr>
              <w:pStyle w:val="BasicParagraph"/>
              <w:spacing w:line="240" w:lineRule="auto"/>
              <w:contextualSpacing/>
              <w:rPr>
                <w:sz w:val="20"/>
                <w:szCs w:val="20"/>
              </w:rPr>
            </w:pPr>
            <w:r w:rsidRPr="7F6951EA">
              <w:rPr>
                <w:sz w:val="20"/>
                <w:szCs w:val="20"/>
              </w:rPr>
              <w:t>$</w:t>
            </w:r>
            <w:r w:rsidR="578C1307" w:rsidRPr="7F6951EA">
              <w:rPr>
                <w:sz w:val="20"/>
                <w:szCs w:val="20"/>
              </w:rPr>
              <w:t>95,513.60</w:t>
            </w:r>
          </w:p>
        </w:tc>
        <w:tc>
          <w:tcPr>
            <w:tcW w:w="18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6BBD8"/>
            <w:tcMar>
              <w:top w:w="80" w:type="dxa"/>
              <w:left w:w="80" w:type="dxa"/>
              <w:bottom w:w="80" w:type="dxa"/>
              <w:right w:w="80" w:type="dxa"/>
            </w:tcMar>
          </w:tcPr>
          <w:p w14:paraId="3ECA0631" w14:textId="69B93D46" w:rsidR="00BA2D76" w:rsidRDefault="00BA2D76" w:rsidP="7F6951EA">
            <w:pPr>
              <w:pStyle w:val="BasicParagraph"/>
              <w:rPr>
                <w:sz w:val="20"/>
                <w:szCs w:val="20"/>
              </w:rPr>
            </w:pPr>
            <w:r w:rsidRPr="7F6951EA">
              <w:rPr>
                <w:sz w:val="20"/>
                <w:szCs w:val="20"/>
              </w:rPr>
              <w:t>$</w:t>
            </w:r>
            <w:r w:rsidR="39CB6CD0" w:rsidRPr="7F6951EA">
              <w:rPr>
                <w:sz w:val="20"/>
                <w:szCs w:val="20"/>
              </w:rPr>
              <w:t>82,097.60</w:t>
            </w:r>
          </w:p>
        </w:tc>
      </w:tr>
      <w:tr w:rsidR="00BA2D76" w14:paraId="3ECA0638" w14:textId="77777777" w:rsidTr="7F6951EA">
        <w:trPr>
          <w:trHeight w:val="25"/>
        </w:trPr>
        <w:tc>
          <w:tcPr>
            <w:tcW w:w="27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6BBD8"/>
            <w:tcMar>
              <w:top w:w="80" w:type="dxa"/>
              <w:left w:w="80" w:type="dxa"/>
              <w:bottom w:w="80" w:type="dxa"/>
              <w:right w:w="80" w:type="dxa"/>
            </w:tcMar>
          </w:tcPr>
          <w:p w14:paraId="3ECA0633" w14:textId="77777777" w:rsidR="00BA2D76" w:rsidRPr="00BA2D76" w:rsidRDefault="00BA2D76" w:rsidP="00BA2D76">
            <w:pPr>
              <w:pStyle w:val="BasicParagraph"/>
              <w:spacing w:line="240" w:lineRule="auto"/>
              <w:contextualSpacing/>
              <w:rPr>
                <w:sz w:val="20"/>
                <w:szCs w:val="20"/>
              </w:rPr>
            </w:pPr>
            <w:r w:rsidRPr="00BA2D76">
              <w:rPr>
                <w:b/>
                <w:bCs/>
                <w:sz w:val="20"/>
                <w:szCs w:val="20"/>
              </w:rPr>
              <w:t>Two Adults, No Children</w:t>
            </w:r>
          </w:p>
        </w:tc>
        <w:tc>
          <w:tcPr>
            <w:tcW w:w="189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6BBD8"/>
            <w:tcMar>
              <w:top w:w="80" w:type="dxa"/>
              <w:left w:w="80" w:type="dxa"/>
              <w:bottom w:w="80" w:type="dxa"/>
              <w:right w:w="80" w:type="dxa"/>
            </w:tcMar>
          </w:tcPr>
          <w:p w14:paraId="3ECA0634" w14:textId="3C35733C" w:rsidR="00BA2D76" w:rsidRPr="00BA2D76" w:rsidRDefault="00BA2D76" w:rsidP="00BA2D76">
            <w:pPr>
              <w:pStyle w:val="BasicParagraph"/>
              <w:spacing w:line="240" w:lineRule="auto"/>
              <w:contextualSpacing/>
              <w:rPr>
                <w:sz w:val="20"/>
                <w:szCs w:val="20"/>
              </w:rPr>
            </w:pPr>
            <w:r w:rsidRPr="7F6951EA">
              <w:rPr>
                <w:sz w:val="20"/>
                <w:szCs w:val="20"/>
              </w:rPr>
              <w:t>$</w:t>
            </w:r>
            <w:r w:rsidR="77F5C52E" w:rsidRPr="7F6951EA">
              <w:rPr>
                <w:sz w:val="20"/>
                <w:szCs w:val="20"/>
              </w:rPr>
              <w:t>31,428.80</w:t>
            </w:r>
          </w:p>
        </w:tc>
        <w:tc>
          <w:tcPr>
            <w:tcW w:w="171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6BBD8"/>
            <w:tcMar>
              <w:top w:w="80" w:type="dxa"/>
              <w:left w:w="80" w:type="dxa"/>
              <w:bottom w:w="80" w:type="dxa"/>
              <w:right w:w="80" w:type="dxa"/>
            </w:tcMar>
          </w:tcPr>
          <w:p w14:paraId="3ECA0635" w14:textId="64D314DB" w:rsidR="00BA2D76" w:rsidRPr="00BA2D76" w:rsidRDefault="00BA2D76" w:rsidP="00BA2D76">
            <w:pPr>
              <w:pStyle w:val="BasicParagraph"/>
              <w:spacing w:line="240" w:lineRule="auto"/>
              <w:contextualSpacing/>
              <w:rPr>
                <w:sz w:val="20"/>
                <w:szCs w:val="20"/>
              </w:rPr>
            </w:pPr>
            <w:r w:rsidRPr="7F6951EA">
              <w:rPr>
                <w:sz w:val="20"/>
                <w:szCs w:val="20"/>
              </w:rPr>
              <w:t>$</w:t>
            </w:r>
            <w:r w:rsidR="0E021580" w:rsidRPr="7F6951EA">
              <w:rPr>
                <w:sz w:val="20"/>
                <w:szCs w:val="20"/>
              </w:rPr>
              <w:t>32,344.00</w:t>
            </w:r>
          </w:p>
        </w:tc>
        <w:tc>
          <w:tcPr>
            <w:tcW w:w="198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6BBD8"/>
            <w:tcMar>
              <w:top w:w="80" w:type="dxa"/>
              <w:left w:w="80" w:type="dxa"/>
              <w:bottom w:w="80" w:type="dxa"/>
              <w:right w:w="80" w:type="dxa"/>
            </w:tcMar>
          </w:tcPr>
          <w:p w14:paraId="3ECA0636" w14:textId="1D9C0CE2" w:rsidR="00BA2D76" w:rsidRPr="00BA2D76" w:rsidRDefault="00BA2D76" w:rsidP="00BA2D76">
            <w:pPr>
              <w:pStyle w:val="BasicParagraph"/>
              <w:spacing w:line="240" w:lineRule="auto"/>
              <w:contextualSpacing/>
              <w:rPr>
                <w:sz w:val="20"/>
                <w:szCs w:val="20"/>
              </w:rPr>
            </w:pPr>
            <w:r w:rsidRPr="7F6951EA">
              <w:rPr>
                <w:sz w:val="20"/>
                <w:szCs w:val="20"/>
              </w:rPr>
              <w:t>$</w:t>
            </w:r>
            <w:r w:rsidR="05281552" w:rsidRPr="7F6951EA">
              <w:rPr>
                <w:sz w:val="20"/>
                <w:szCs w:val="20"/>
              </w:rPr>
              <w:t>62,857.60</w:t>
            </w:r>
          </w:p>
        </w:tc>
        <w:tc>
          <w:tcPr>
            <w:tcW w:w="18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6BBD8"/>
            <w:tcMar>
              <w:top w:w="80" w:type="dxa"/>
              <w:left w:w="80" w:type="dxa"/>
              <w:bottom w:w="80" w:type="dxa"/>
              <w:right w:w="80" w:type="dxa"/>
            </w:tcMar>
          </w:tcPr>
          <w:p w14:paraId="3ECA0637" w14:textId="22DA85E8" w:rsidR="00BA2D76" w:rsidRDefault="00BA2D76" w:rsidP="7F6951EA">
            <w:pPr>
              <w:pStyle w:val="BasicParagraph"/>
              <w:rPr>
                <w:sz w:val="20"/>
                <w:szCs w:val="20"/>
              </w:rPr>
            </w:pPr>
            <w:r w:rsidRPr="7F6951EA">
              <w:rPr>
                <w:sz w:val="20"/>
                <w:szCs w:val="20"/>
              </w:rPr>
              <w:t>$</w:t>
            </w:r>
            <w:r w:rsidR="40A961C0" w:rsidRPr="7F6951EA">
              <w:rPr>
                <w:sz w:val="20"/>
                <w:szCs w:val="20"/>
              </w:rPr>
              <w:t>64,688.00</w:t>
            </w:r>
          </w:p>
        </w:tc>
      </w:tr>
      <w:tr w:rsidR="00BA2D76" w14:paraId="3ECA063F" w14:textId="77777777" w:rsidTr="7F6951EA">
        <w:trPr>
          <w:trHeight w:val="25"/>
        </w:trPr>
        <w:tc>
          <w:tcPr>
            <w:tcW w:w="27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6BBD8"/>
            <w:tcMar>
              <w:top w:w="80" w:type="dxa"/>
              <w:left w:w="80" w:type="dxa"/>
              <w:bottom w:w="80" w:type="dxa"/>
              <w:right w:w="80" w:type="dxa"/>
            </w:tcMar>
          </w:tcPr>
          <w:p w14:paraId="3ECA0639" w14:textId="77777777" w:rsidR="00BA2D76" w:rsidRPr="00BA2D76" w:rsidRDefault="00BA2D76" w:rsidP="00BA2D76">
            <w:pPr>
              <w:pStyle w:val="BasicParagraph"/>
              <w:spacing w:line="240" w:lineRule="auto"/>
              <w:contextualSpacing/>
              <w:rPr>
                <w:b/>
                <w:bCs/>
                <w:sz w:val="20"/>
                <w:szCs w:val="20"/>
              </w:rPr>
            </w:pPr>
            <w:r w:rsidRPr="00BA2D76">
              <w:rPr>
                <w:b/>
                <w:bCs/>
                <w:sz w:val="20"/>
                <w:szCs w:val="20"/>
              </w:rPr>
              <w:t xml:space="preserve">Two Adults, Two Children </w:t>
            </w:r>
          </w:p>
          <w:p w14:paraId="3ECA063A" w14:textId="7A28E795" w:rsidR="00BA2D76" w:rsidRPr="00BA2D76" w:rsidRDefault="7139E9D6" w:rsidP="00BA2D76">
            <w:pPr>
              <w:pStyle w:val="BasicParagraph"/>
              <w:spacing w:line="240" w:lineRule="auto"/>
              <w:contextualSpacing/>
              <w:rPr>
                <w:sz w:val="20"/>
                <w:szCs w:val="20"/>
              </w:rPr>
            </w:pPr>
            <w:r w:rsidRPr="2948F158">
              <w:rPr>
                <w:b/>
                <w:bCs/>
                <w:sz w:val="20"/>
                <w:szCs w:val="20"/>
              </w:rPr>
              <w:t>(</w:t>
            </w:r>
            <w:proofErr w:type="gramStart"/>
            <w:r w:rsidRPr="2948F158">
              <w:rPr>
                <w:b/>
                <w:bCs/>
                <w:sz w:val="20"/>
                <w:szCs w:val="20"/>
              </w:rPr>
              <w:t>one</w:t>
            </w:r>
            <w:proofErr w:type="gramEnd"/>
            <w:r w:rsidRPr="2948F158">
              <w:rPr>
                <w:b/>
                <w:bCs/>
                <w:sz w:val="20"/>
                <w:szCs w:val="20"/>
              </w:rPr>
              <w:t xml:space="preserve"> wage e</w:t>
            </w:r>
            <w:r w:rsidR="5C5DA7EC" w:rsidRPr="2948F158">
              <w:rPr>
                <w:b/>
                <w:bCs/>
                <w:sz w:val="20"/>
                <w:szCs w:val="20"/>
              </w:rPr>
              <w:t>a</w:t>
            </w:r>
            <w:r w:rsidRPr="2948F158">
              <w:rPr>
                <w:b/>
                <w:bCs/>
                <w:sz w:val="20"/>
                <w:szCs w:val="20"/>
              </w:rPr>
              <w:t>rner)</w:t>
            </w:r>
          </w:p>
        </w:tc>
        <w:tc>
          <w:tcPr>
            <w:tcW w:w="189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6BBD8"/>
            <w:tcMar>
              <w:top w:w="80" w:type="dxa"/>
              <w:left w:w="80" w:type="dxa"/>
              <w:bottom w:w="80" w:type="dxa"/>
              <w:right w:w="80" w:type="dxa"/>
            </w:tcMar>
          </w:tcPr>
          <w:p w14:paraId="3ECA063B" w14:textId="3ADE2A22" w:rsidR="00BA2D76" w:rsidRPr="00BA2D76" w:rsidRDefault="00BA2D76" w:rsidP="00BA2D76">
            <w:pPr>
              <w:pStyle w:val="BasicParagraph"/>
              <w:spacing w:line="240" w:lineRule="auto"/>
              <w:contextualSpacing/>
              <w:rPr>
                <w:sz w:val="20"/>
                <w:szCs w:val="20"/>
              </w:rPr>
            </w:pPr>
            <w:r w:rsidRPr="7F6951EA">
              <w:rPr>
                <w:sz w:val="20"/>
                <w:szCs w:val="20"/>
              </w:rPr>
              <w:t>$</w:t>
            </w:r>
            <w:r w:rsidR="529A8AB7" w:rsidRPr="7F6951EA">
              <w:rPr>
                <w:sz w:val="20"/>
                <w:szCs w:val="20"/>
              </w:rPr>
              <w:t>77,854.40</w:t>
            </w:r>
          </w:p>
        </w:tc>
        <w:tc>
          <w:tcPr>
            <w:tcW w:w="171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6BBD8"/>
            <w:tcMar>
              <w:top w:w="80" w:type="dxa"/>
              <w:left w:w="80" w:type="dxa"/>
              <w:bottom w:w="80" w:type="dxa"/>
              <w:right w:w="80" w:type="dxa"/>
            </w:tcMar>
          </w:tcPr>
          <w:p w14:paraId="3ECA063C" w14:textId="55370B83" w:rsidR="00BA2D76" w:rsidRPr="00BA2D76" w:rsidRDefault="00BA2D76" w:rsidP="00BA2D76">
            <w:pPr>
              <w:pStyle w:val="BasicParagraph"/>
              <w:spacing w:line="240" w:lineRule="auto"/>
              <w:contextualSpacing/>
              <w:rPr>
                <w:sz w:val="20"/>
                <w:szCs w:val="20"/>
              </w:rPr>
            </w:pPr>
            <w:r w:rsidRPr="7F6951EA">
              <w:rPr>
                <w:sz w:val="20"/>
                <w:szCs w:val="20"/>
              </w:rPr>
              <w:t>$</w:t>
            </w:r>
            <w:r w:rsidR="0840F959" w:rsidRPr="7F6951EA">
              <w:rPr>
                <w:sz w:val="20"/>
                <w:szCs w:val="20"/>
              </w:rPr>
              <w:t>76,356.80</w:t>
            </w:r>
          </w:p>
        </w:tc>
        <w:tc>
          <w:tcPr>
            <w:tcW w:w="198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6BBD8"/>
            <w:tcMar>
              <w:top w:w="80" w:type="dxa"/>
              <w:left w:w="80" w:type="dxa"/>
              <w:bottom w:w="80" w:type="dxa"/>
              <w:right w:w="80" w:type="dxa"/>
            </w:tcMar>
          </w:tcPr>
          <w:p w14:paraId="3ECA063D" w14:textId="4987A201" w:rsidR="00BA2D76" w:rsidRPr="00BA2D76" w:rsidRDefault="00BA2D76" w:rsidP="00BA2D76">
            <w:pPr>
              <w:pStyle w:val="BasicParagraph"/>
              <w:spacing w:line="240" w:lineRule="auto"/>
              <w:contextualSpacing/>
              <w:rPr>
                <w:sz w:val="20"/>
                <w:szCs w:val="20"/>
              </w:rPr>
            </w:pPr>
            <w:r w:rsidRPr="7F6951EA">
              <w:rPr>
                <w:sz w:val="20"/>
                <w:szCs w:val="20"/>
              </w:rPr>
              <w:t>$</w:t>
            </w:r>
            <w:r w:rsidR="236238EF" w:rsidRPr="7F6951EA">
              <w:rPr>
                <w:sz w:val="20"/>
                <w:szCs w:val="20"/>
              </w:rPr>
              <w:t>77,854.40</w:t>
            </w:r>
          </w:p>
        </w:tc>
        <w:tc>
          <w:tcPr>
            <w:tcW w:w="18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6BBD8"/>
            <w:tcMar>
              <w:top w:w="80" w:type="dxa"/>
              <w:left w:w="80" w:type="dxa"/>
              <w:bottom w:w="80" w:type="dxa"/>
              <w:right w:w="80" w:type="dxa"/>
            </w:tcMar>
          </w:tcPr>
          <w:p w14:paraId="3ECA063E" w14:textId="378C7FEB" w:rsidR="00BA2D76" w:rsidRDefault="00BA2D76" w:rsidP="7F6951EA">
            <w:pPr>
              <w:pStyle w:val="BasicParagraph"/>
              <w:rPr>
                <w:sz w:val="20"/>
                <w:szCs w:val="20"/>
              </w:rPr>
            </w:pPr>
            <w:r w:rsidRPr="7F6951EA">
              <w:rPr>
                <w:sz w:val="20"/>
                <w:szCs w:val="20"/>
              </w:rPr>
              <w:t>$</w:t>
            </w:r>
            <w:r w:rsidR="76C94DC7" w:rsidRPr="7F6951EA">
              <w:rPr>
                <w:sz w:val="20"/>
                <w:szCs w:val="20"/>
              </w:rPr>
              <w:t>76,356.80</w:t>
            </w:r>
          </w:p>
        </w:tc>
      </w:tr>
      <w:tr w:rsidR="00BA2D76" w14:paraId="3ECA0646" w14:textId="77777777" w:rsidTr="7F6951EA">
        <w:trPr>
          <w:trHeight w:val="25"/>
        </w:trPr>
        <w:tc>
          <w:tcPr>
            <w:tcW w:w="27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6BBD8"/>
            <w:tcMar>
              <w:top w:w="80" w:type="dxa"/>
              <w:left w:w="80" w:type="dxa"/>
              <w:bottom w:w="80" w:type="dxa"/>
              <w:right w:w="80" w:type="dxa"/>
            </w:tcMar>
          </w:tcPr>
          <w:p w14:paraId="3ECA0640" w14:textId="77777777" w:rsidR="00BA2D76" w:rsidRPr="00BA2D76" w:rsidRDefault="00BA2D76" w:rsidP="00BA2D76">
            <w:pPr>
              <w:pStyle w:val="BasicParagraph"/>
              <w:spacing w:line="240" w:lineRule="auto"/>
              <w:contextualSpacing/>
              <w:rPr>
                <w:b/>
                <w:bCs/>
                <w:sz w:val="20"/>
                <w:szCs w:val="20"/>
              </w:rPr>
            </w:pPr>
            <w:r w:rsidRPr="00BA2D76">
              <w:rPr>
                <w:b/>
                <w:bCs/>
                <w:sz w:val="20"/>
                <w:szCs w:val="20"/>
              </w:rPr>
              <w:t xml:space="preserve">Two Adults, Two Children </w:t>
            </w:r>
          </w:p>
          <w:p w14:paraId="3ECA0641" w14:textId="07AE5F44" w:rsidR="00BA2D76" w:rsidRPr="00BA2D76" w:rsidRDefault="7139E9D6" w:rsidP="00BA2D76">
            <w:pPr>
              <w:pStyle w:val="BasicParagraph"/>
              <w:spacing w:line="240" w:lineRule="auto"/>
              <w:contextualSpacing/>
              <w:rPr>
                <w:sz w:val="20"/>
                <w:szCs w:val="20"/>
              </w:rPr>
            </w:pPr>
            <w:r w:rsidRPr="2948F158">
              <w:rPr>
                <w:b/>
                <w:bCs/>
                <w:sz w:val="20"/>
                <w:szCs w:val="20"/>
              </w:rPr>
              <w:t>(</w:t>
            </w:r>
            <w:proofErr w:type="gramStart"/>
            <w:r w:rsidRPr="2948F158">
              <w:rPr>
                <w:b/>
                <w:bCs/>
                <w:sz w:val="20"/>
                <w:szCs w:val="20"/>
              </w:rPr>
              <w:t>two</w:t>
            </w:r>
            <w:proofErr w:type="gramEnd"/>
            <w:r w:rsidRPr="2948F158">
              <w:rPr>
                <w:b/>
                <w:bCs/>
                <w:sz w:val="20"/>
                <w:szCs w:val="20"/>
              </w:rPr>
              <w:t xml:space="preserve"> wage e</w:t>
            </w:r>
            <w:r w:rsidR="0B9F9F04" w:rsidRPr="2948F158">
              <w:rPr>
                <w:b/>
                <w:bCs/>
                <w:sz w:val="20"/>
                <w:szCs w:val="20"/>
              </w:rPr>
              <w:t>a</w:t>
            </w:r>
            <w:r w:rsidRPr="2948F158">
              <w:rPr>
                <w:b/>
                <w:bCs/>
                <w:sz w:val="20"/>
                <w:szCs w:val="20"/>
              </w:rPr>
              <w:t>rners)</w:t>
            </w:r>
          </w:p>
        </w:tc>
        <w:tc>
          <w:tcPr>
            <w:tcW w:w="189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6BBD8"/>
            <w:tcMar>
              <w:top w:w="80" w:type="dxa"/>
              <w:left w:w="80" w:type="dxa"/>
              <w:bottom w:w="80" w:type="dxa"/>
              <w:right w:w="80" w:type="dxa"/>
            </w:tcMar>
          </w:tcPr>
          <w:p w14:paraId="3ECA0642" w14:textId="0FB1FD9A" w:rsidR="00BA2D76" w:rsidRPr="00BA2D76" w:rsidRDefault="00BA2D76" w:rsidP="00BA2D76">
            <w:pPr>
              <w:pStyle w:val="BasicParagraph"/>
              <w:spacing w:line="240" w:lineRule="auto"/>
              <w:contextualSpacing/>
              <w:rPr>
                <w:sz w:val="20"/>
                <w:szCs w:val="20"/>
              </w:rPr>
            </w:pPr>
            <w:r w:rsidRPr="7F6951EA">
              <w:rPr>
                <w:sz w:val="20"/>
                <w:szCs w:val="20"/>
              </w:rPr>
              <w:t>$</w:t>
            </w:r>
            <w:r w:rsidR="7499BF3D" w:rsidRPr="7F6951EA">
              <w:rPr>
                <w:sz w:val="20"/>
                <w:szCs w:val="20"/>
              </w:rPr>
              <w:t>54,017.60</w:t>
            </w:r>
          </w:p>
        </w:tc>
        <w:tc>
          <w:tcPr>
            <w:tcW w:w="171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6BBD8"/>
            <w:tcMar>
              <w:top w:w="80" w:type="dxa"/>
              <w:left w:w="80" w:type="dxa"/>
              <w:bottom w:w="80" w:type="dxa"/>
              <w:right w:w="80" w:type="dxa"/>
            </w:tcMar>
          </w:tcPr>
          <w:p w14:paraId="3ECA0643" w14:textId="43D201FE" w:rsidR="00BA2D76" w:rsidRPr="00BA2D76" w:rsidRDefault="00BA2D76" w:rsidP="00BA2D76">
            <w:pPr>
              <w:pStyle w:val="BasicParagraph"/>
              <w:spacing w:line="240" w:lineRule="auto"/>
              <w:contextualSpacing/>
              <w:rPr>
                <w:sz w:val="20"/>
                <w:szCs w:val="20"/>
              </w:rPr>
            </w:pPr>
            <w:r w:rsidRPr="7F6951EA">
              <w:rPr>
                <w:sz w:val="20"/>
                <w:szCs w:val="20"/>
              </w:rPr>
              <w:t>$</w:t>
            </w:r>
            <w:r w:rsidR="180293C6" w:rsidRPr="7F6951EA">
              <w:rPr>
                <w:sz w:val="20"/>
                <w:szCs w:val="20"/>
              </w:rPr>
              <w:t>50,585.60</w:t>
            </w:r>
          </w:p>
        </w:tc>
        <w:tc>
          <w:tcPr>
            <w:tcW w:w="198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6BBD8"/>
            <w:tcMar>
              <w:top w:w="80" w:type="dxa"/>
              <w:left w:w="80" w:type="dxa"/>
              <w:bottom w:w="80" w:type="dxa"/>
              <w:right w:w="80" w:type="dxa"/>
            </w:tcMar>
          </w:tcPr>
          <w:p w14:paraId="3ECA0644" w14:textId="7946F074" w:rsidR="00BA2D76" w:rsidRPr="00BA2D76" w:rsidRDefault="00BA2D76" w:rsidP="00BA2D76">
            <w:pPr>
              <w:pStyle w:val="BasicParagraph"/>
              <w:spacing w:line="240" w:lineRule="auto"/>
              <w:contextualSpacing/>
              <w:rPr>
                <w:sz w:val="20"/>
                <w:szCs w:val="20"/>
              </w:rPr>
            </w:pPr>
            <w:r w:rsidRPr="7F6951EA">
              <w:rPr>
                <w:sz w:val="20"/>
                <w:szCs w:val="20"/>
              </w:rPr>
              <w:t>$</w:t>
            </w:r>
            <w:r w:rsidR="0976BFF8" w:rsidRPr="7F6951EA">
              <w:rPr>
                <w:sz w:val="20"/>
                <w:szCs w:val="20"/>
              </w:rPr>
              <w:t>108,035.20</w:t>
            </w:r>
          </w:p>
        </w:tc>
        <w:tc>
          <w:tcPr>
            <w:tcW w:w="18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6BBD8"/>
            <w:tcMar>
              <w:top w:w="80" w:type="dxa"/>
              <w:left w:w="80" w:type="dxa"/>
              <w:bottom w:w="80" w:type="dxa"/>
              <w:right w:w="80" w:type="dxa"/>
            </w:tcMar>
          </w:tcPr>
          <w:p w14:paraId="3ECA0645" w14:textId="5B48B377" w:rsidR="00BA2D76" w:rsidRDefault="00BA2D76" w:rsidP="7F6951EA">
            <w:pPr>
              <w:pStyle w:val="BasicParagraph"/>
              <w:rPr>
                <w:sz w:val="20"/>
                <w:szCs w:val="20"/>
              </w:rPr>
            </w:pPr>
            <w:r w:rsidRPr="7F6951EA">
              <w:rPr>
                <w:sz w:val="20"/>
                <w:szCs w:val="20"/>
              </w:rPr>
              <w:t>$</w:t>
            </w:r>
            <w:r w:rsidR="0C7F87A8" w:rsidRPr="7F6951EA">
              <w:rPr>
                <w:sz w:val="20"/>
                <w:szCs w:val="20"/>
              </w:rPr>
              <w:t>101,171.20</w:t>
            </w:r>
          </w:p>
        </w:tc>
      </w:tr>
      <w:tr w:rsidR="00BA2D76" w14:paraId="3ECA0648" w14:textId="77777777" w:rsidTr="7F6951EA">
        <w:trPr>
          <w:trHeight w:val="25"/>
        </w:trPr>
        <w:tc>
          <w:tcPr>
            <w:tcW w:w="10080" w:type="dxa"/>
            <w:gridSpan w:val="5"/>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FFFFF" w:themeFill="background1"/>
            <w:tcMar>
              <w:top w:w="80" w:type="dxa"/>
              <w:left w:w="80" w:type="dxa"/>
              <w:bottom w:w="80" w:type="dxa"/>
              <w:right w:w="80" w:type="dxa"/>
            </w:tcMar>
          </w:tcPr>
          <w:p w14:paraId="17B69369" w14:textId="7CFCED5C" w:rsidR="00BA2D76" w:rsidRPr="00BA2D76" w:rsidRDefault="7139E9D6" w:rsidP="00BA2D76">
            <w:pPr>
              <w:pStyle w:val="Source"/>
              <w:spacing w:line="240" w:lineRule="auto"/>
              <w:contextualSpacing/>
            </w:pPr>
            <w:r>
              <w:t xml:space="preserve">Source: </w:t>
            </w:r>
            <w:r w:rsidR="04AA403C">
              <w:t>https://ljfo.vermont.gov/assets/Subjects/Basic-Needs-Budgets/8924c89cea/2022-Basic-Needs-Budget-and-Livable-Wage-report-FINAL-1-17-2023.pdf</w:t>
            </w:r>
          </w:p>
          <w:p w14:paraId="3ECA0647" w14:textId="1A489694" w:rsidR="00BA2D76" w:rsidRPr="00BA2D76" w:rsidRDefault="00BA2D76" w:rsidP="00BA2D76">
            <w:pPr>
              <w:pStyle w:val="Source"/>
              <w:spacing w:line="240" w:lineRule="auto"/>
              <w:contextualSpacing/>
            </w:pPr>
          </w:p>
        </w:tc>
      </w:tr>
    </w:tbl>
    <w:p w14:paraId="3ECA0649" w14:textId="220702F1" w:rsidR="00BA2D76" w:rsidRPr="00BA2D76" w:rsidRDefault="00BA2D76" w:rsidP="00BA2D76">
      <w:pPr>
        <w:pStyle w:val="BasicParagraph"/>
        <w:rPr>
          <w:sz w:val="22"/>
          <w:szCs w:val="22"/>
        </w:rPr>
      </w:pPr>
    </w:p>
    <w:p w14:paraId="3ECA064A" w14:textId="3EDB5BC6" w:rsidR="00BA2D76" w:rsidRDefault="00BA2D76" w:rsidP="00BA2D76">
      <w:pPr>
        <w:pStyle w:val="TOC"/>
      </w:pPr>
      <w:r>
        <w:t xml:space="preserve">Climate Change </w:t>
      </w:r>
      <w:r w:rsidR="00022E5C">
        <w:t>Trends Observed</w:t>
      </w:r>
      <w:r w:rsidR="00CC6A41">
        <w:t xml:space="preserve"> </w:t>
      </w:r>
    </w:p>
    <w:p w14:paraId="3ECA064B" w14:textId="77777777" w:rsidR="00BA2D76" w:rsidRPr="00BA2D76" w:rsidRDefault="00BA2D76" w:rsidP="00BA2D76">
      <w:pPr>
        <w:pStyle w:val="BasicParagraph"/>
        <w:rPr>
          <w:sz w:val="22"/>
          <w:szCs w:val="22"/>
        </w:rPr>
      </w:pPr>
    </w:p>
    <w:p w14:paraId="3ECA064C" w14:textId="1EC54FD0" w:rsidR="00BA2D76" w:rsidRPr="00BA2D76" w:rsidRDefault="30C2A27B" w:rsidP="00BA2D76">
      <w:pPr>
        <w:pStyle w:val="BasicParagraph"/>
        <w:rPr>
          <w:sz w:val="22"/>
          <w:szCs w:val="22"/>
        </w:rPr>
      </w:pPr>
      <w:r w:rsidRPr="00BA2D76">
        <w:rPr>
          <w:sz w:val="22"/>
          <w:szCs w:val="22"/>
        </w:rPr>
        <w:t>Over the past several decades, there has been a marked increase in the frequency and severity of weather-related disasters, both globally and nationally. Most notably, the Earth has experienced a 1</w:t>
      </w:r>
      <w:r w:rsidR="59DD04D0" w:rsidRPr="00BA2D76">
        <w:rPr>
          <w:sz w:val="22"/>
          <w:szCs w:val="22"/>
        </w:rPr>
        <w:t>.5</w:t>
      </w:r>
      <w:r w:rsidRPr="00BA2D76">
        <w:rPr>
          <w:sz w:val="22"/>
          <w:szCs w:val="22"/>
        </w:rPr>
        <w:t>°F rise in temperature</w:t>
      </w:r>
      <w:r w:rsidR="5B02E3F8" w:rsidRPr="00BA2D76">
        <w:rPr>
          <w:sz w:val="22"/>
          <w:szCs w:val="22"/>
        </w:rPr>
        <w:t xml:space="preserve"> since 1900, with most of that warming occurring since 1970. Over the same </w:t>
      </w:r>
      <w:proofErr w:type="gramStart"/>
      <w:r w:rsidR="5B02E3F8" w:rsidRPr="00BA2D76">
        <w:rPr>
          <w:sz w:val="22"/>
          <w:szCs w:val="22"/>
        </w:rPr>
        <w:t>time period</w:t>
      </w:r>
      <w:proofErr w:type="gramEnd"/>
      <w:r w:rsidR="5B02E3F8" w:rsidRPr="00BA2D76">
        <w:rPr>
          <w:sz w:val="22"/>
          <w:szCs w:val="22"/>
        </w:rPr>
        <w:t xml:space="preserve"> Vermont has been getting warmer and wetter</w:t>
      </w:r>
      <w:r w:rsidR="7DB6C0DC" w:rsidRPr="00BA2D76">
        <w:rPr>
          <w:sz w:val="22"/>
          <w:szCs w:val="22"/>
        </w:rPr>
        <w:t>, with an average air temperature increase of 4</w:t>
      </w:r>
      <w:r w:rsidR="5726CF33" w:rsidRPr="6C02880B">
        <w:rPr>
          <w:color w:val="F5F5F5"/>
          <w:sz w:val="22"/>
          <w:szCs w:val="22"/>
        </w:rPr>
        <w:t>°</w:t>
      </w:r>
      <w:r w:rsidR="7DB6C0DC" w:rsidRPr="00BA2D76">
        <w:rPr>
          <w:sz w:val="22"/>
          <w:szCs w:val="22"/>
        </w:rPr>
        <w:t xml:space="preserve">F </w:t>
      </w:r>
      <w:r w:rsidR="77D45C9A" w:rsidRPr="00BA2D76">
        <w:rPr>
          <w:sz w:val="22"/>
          <w:szCs w:val="22"/>
        </w:rPr>
        <w:t>in winter and 2</w:t>
      </w:r>
      <w:r w:rsidR="42C23C72" w:rsidRPr="6C02880B">
        <w:rPr>
          <w:color w:val="F5F5F5"/>
          <w:sz w:val="22"/>
          <w:szCs w:val="22"/>
        </w:rPr>
        <w:t>°</w:t>
      </w:r>
      <w:r w:rsidR="77D45C9A" w:rsidRPr="00BA2D76">
        <w:rPr>
          <w:sz w:val="22"/>
          <w:szCs w:val="22"/>
        </w:rPr>
        <w:t>F in summer</w:t>
      </w:r>
      <w:r w:rsidRPr="04CFB4BD">
        <w:rPr>
          <w:rStyle w:val="FootnoteReference"/>
          <w:sz w:val="22"/>
          <w:szCs w:val="22"/>
        </w:rPr>
        <w:footnoteReference w:id="14"/>
      </w:r>
      <w:r w:rsidR="7D26E08A" w:rsidRPr="00BA2D76">
        <w:rPr>
          <w:sz w:val="22"/>
          <w:szCs w:val="22"/>
        </w:rPr>
        <w:t>.</w:t>
      </w:r>
      <w:r w:rsidR="2C4B0D7F" w:rsidRPr="00BA2D76">
        <w:rPr>
          <w:sz w:val="22"/>
          <w:szCs w:val="22"/>
        </w:rPr>
        <w:t xml:space="preserve"> This</w:t>
      </w:r>
      <w:r w:rsidRPr="00BA2D76">
        <w:rPr>
          <w:sz w:val="22"/>
          <w:szCs w:val="22"/>
        </w:rPr>
        <w:t xml:space="preserve"> has far-reaching impacts on weather patterns and ecosystems. This statistically significant variation in either the mean state of the climate or in its variability, persisting for an extended period (typically decades or longer), is known as climate change</w:t>
      </w:r>
      <w:r w:rsidR="00BA2D76" w:rsidRPr="00BA2D76">
        <w:rPr>
          <w:rStyle w:val="Footnote"/>
          <w:sz w:val="22"/>
          <w:szCs w:val="22"/>
          <w:vertAlign w:val="superscript"/>
        </w:rPr>
        <w:footnoteReference w:id="15"/>
      </w:r>
      <w:r w:rsidRPr="00BA2D76">
        <w:rPr>
          <w:sz w:val="22"/>
          <w:szCs w:val="22"/>
        </w:rPr>
        <w:t xml:space="preserve">. </w:t>
      </w:r>
    </w:p>
    <w:p w14:paraId="3ECA064D" w14:textId="77777777" w:rsidR="00BA2D76" w:rsidRPr="00BA2D76" w:rsidRDefault="00BA2D76" w:rsidP="00BA2D76">
      <w:pPr>
        <w:pStyle w:val="BasicParagraph"/>
        <w:rPr>
          <w:sz w:val="22"/>
          <w:szCs w:val="22"/>
        </w:rPr>
      </w:pPr>
    </w:p>
    <w:p w14:paraId="3ECA064E" w14:textId="61C4A1A1" w:rsidR="00BA2D76" w:rsidRPr="00BA2D76" w:rsidRDefault="30C2A27B" w:rsidP="00BA2D76">
      <w:pPr>
        <w:pStyle w:val="BasicParagraph"/>
        <w:rPr>
          <w:sz w:val="22"/>
          <w:szCs w:val="22"/>
        </w:rPr>
      </w:pPr>
      <w:r w:rsidRPr="00BA2D76">
        <w:rPr>
          <w:sz w:val="22"/>
          <w:szCs w:val="22"/>
        </w:rPr>
        <w:t xml:space="preserve">The Intergovernmental Panel on Climate Change (IPCC) forecasts a temperature rise </w:t>
      </w:r>
      <w:r w:rsidR="45C68302" w:rsidRPr="00BA2D76">
        <w:rPr>
          <w:sz w:val="22"/>
          <w:szCs w:val="22"/>
        </w:rPr>
        <w:t>between 1.5</w:t>
      </w:r>
      <w:r w:rsidRPr="00BA2D76">
        <w:rPr>
          <w:sz w:val="22"/>
          <w:szCs w:val="22"/>
        </w:rPr>
        <w:t xml:space="preserve">°F </w:t>
      </w:r>
      <w:r w:rsidR="238531B0" w:rsidRPr="00BA2D76">
        <w:rPr>
          <w:sz w:val="22"/>
          <w:szCs w:val="22"/>
        </w:rPr>
        <w:t>and 5</w:t>
      </w:r>
      <w:r w:rsidRPr="00BA2D76">
        <w:rPr>
          <w:sz w:val="22"/>
          <w:szCs w:val="22"/>
        </w:rPr>
        <w:t xml:space="preserve">°F </w:t>
      </w:r>
      <w:r w:rsidR="0A4DCC76" w:rsidRPr="00BA2D76">
        <w:rPr>
          <w:sz w:val="22"/>
          <w:szCs w:val="22"/>
        </w:rPr>
        <w:t>by 2100</w:t>
      </w:r>
      <w:r w:rsidRPr="00BA2D76">
        <w:rPr>
          <w:sz w:val="22"/>
          <w:szCs w:val="22"/>
        </w:rPr>
        <w:t>, which will affect different regions in various ways over time. Impacts will also directly relate to the ability of different societal and environmental systems to mitigate or adapt to change</w:t>
      </w:r>
      <w:r w:rsidR="00BA2D76" w:rsidRPr="00BA2D76">
        <w:rPr>
          <w:rStyle w:val="Footnote"/>
          <w:sz w:val="22"/>
          <w:szCs w:val="22"/>
          <w:vertAlign w:val="superscript"/>
        </w:rPr>
        <w:footnoteReference w:id="16"/>
      </w:r>
      <w:r w:rsidRPr="00BA2D76">
        <w:rPr>
          <w:sz w:val="22"/>
          <w:szCs w:val="22"/>
        </w:rPr>
        <w:t xml:space="preserve">. Increasing temperatures are forecasted to have significant impacts on weather-related disasters, which will also increase risk to life, economy and quality of life, critical </w:t>
      </w:r>
      <w:proofErr w:type="gramStart"/>
      <w:r w:rsidRPr="00BA2D76">
        <w:rPr>
          <w:sz w:val="22"/>
          <w:szCs w:val="22"/>
        </w:rPr>
        <w:t>infrastructure</w:t>
      </w:r>
      <w:proofErr w:type="gramEnd"/>
      <w:r w:rsidRPr="00BA2D76">
        <w:rPr>
          <w:sz w:val="22"/>
          <w:szCs w:val="22"/>
        </w:rPr>
        <w:t xml:space="preserve"> and natural ecosystems. The IPCC notes that the range of published evidence indicates that the costs associated with net damages of climate change</w:t>
      </w:r>
      <w:r w:rsidR="4134E4E7" w:rsidRPr="00BA2D76">
        <w:rPr>
          <w:sz w:val="22"/>
          <w:szCs w:val="22"/>
        </w:rPr>
        <w:t xml:space="preserve"> (including building, transportation, and energy infrastructure) </w:t>
      </w:r>
      <w:r w:rsidRPr="00BA2D76">
        <w:rPr>
          <w:sz w:val="22"/>
          <w:szCs w:val="22"/>
        </w:rPr>
        <w:t xml:space="preserve">are likely to be significant and will increase over time. It is therefore imperative that recognition of a changing climate be incorporated into all planning processes when preparing for and responding to weather-related emergencies and disasters. </w:t>
      </w:r>
    </w:p>
    <w:p w14:paraId="3ECA064F" w14:textId="77777777" w:rsidR="00BA2D76" w:rsidRPr="00BA2D76" w:rsidRDefault="00BA2D76" w:rsidP="00BA2D76">
      <w:pPr>
        <w:pStyle w:val="BasicParagraph"/>
        <w:rPr>
          <w:sz w:val="22"/>
          <w:szCs w:val="22"/>
        </w:rPr>
      </w:pPr>
    </w:p>
    <w:p w14:paraId="3ECA0650" w14:textId="77777777" w:rsidR="00BA2D76" w:rsidRPr="00BA2D76" w:rsidRDefault="00BA2D76" w:rsidP="00BA2D76">
      <w:pPr>
        <w:pStyle w:val="BasicParagraph"/>
        <w:rPr>
          <w:sz w:val="22"/>
          <w:szCs w:val="22"/>
        </w:rPr>
      </w:pPr>
      <w:r w:rsidRPr="00BA2D76">
        <w:rPr>
          <w:sz w:val="22"/>
          <w:szCs w:val="22"/>
        </w:rPr>
        <w:t xml:space="preserve">Most of the natural hazards identified below are likely to be exacerbated by changes in climate, either directly or indirectly. This section begins to review changes in our global and regional climate, which are further addressed in the hazard profiles, including: </w:t>
      </w:r>
    </w:p>
    <w:p w14:paraId="3ECA0651" w14:textId="77777777" w:rsidR="00BA2D76" w:rsidRPr="00BA2D76" w:rsidRDefault="00BA2D76" w:rsidP="00BA2D76">
      <w:pPr>
        <w:pStyle w:val="BasicParagraph"/>
        <w:rPr>
          <w:sz w:val="22"/>
          <w:szCs w:val="22"/>
        </w:rPr>
      </w:pPr>
    </w:p>
    <w:p w14:paraId="3ECA0652" w14:textId="39AD4C73" w:rsidR="00BA2D76" w:rsidRPr="00BA2D76" w:rsidRDefault="00BA2D76" w:rsidP="00BA2D76">
      <w:pPr>
        <w:pStyle w:val="BasicParagraph"/>
        <w:numPr>
          <w:ilvl w:val="0"/>
          <w:numId w:val="5"/>
        </w:numPr>
        <w:rPr>
          <w:sz w:val="22"/>
          <w:szCs w:val="22"/>
        </w:rPr>
      </w:pPr>
      <w:r w:rsidRPr="00BA2D76">
        <w:rPr>
          <w:b/>
          <w:bCs/>
          <w:color w:val="auto"/>
          <w:sz w:val="22"/>
          <w:szCs w:val="22"/>
        </w:rPr>
        <w:t>Precipita</w:t>
      </w:r>
      <w:r w:rsidRPr="00BA2D76">
        <w:rPr>
          <w:b/>
          <w:bCs/>
          <w:sz w:val="22"/>
          <w:szCs w:val="22"/>
        </w:rPr>
        <w:t>tion:</w:t>
      </w:r>
      <w:r w:rsidRPr="00BA2D76">
        <w:rPr>
          <w:sz w:val="22"/>
          <w:szCs w:val="22"/>
        </w:rPr>
        <w:t xml:space="preserve"> </w:t>
      </w:r>
      <w:r w:rsidRPr="00BA2D76">
        <w:rPr>
          <w:rStyle w:val="Hyperlink"/>
          <w:sz w:val="22"/>
          <w:szCs w:val="22"/>
        </w:rPr>
        <w:t>Inundation Flooding &amp; Fluvial Erosion</w:t>
      </w:r>
      <w:r w:rsidRPr="00BA2D76">
        <w:rPr>
          <w:sz w:val="22"/>
          <w:szCs w:val="22"/>
        </w:rPr>
        <w:t xml:space="preserve">; </w:t>
      </w:r>
      <w:r w:rsidRPr="00BA2D76">
        <w:rPr>
          <w:rStyle w:val="Hyperlink"/>
          <w:sz w:val="22"/>
          <w:szCs w:val="22"/>
        </w:rPr>
        <w:t>Drought</w:t>
      </w:r>
      <w:r w:rsidRPr="00BA2D76">
        <w:rPr>
          <w:sz w:val="22"/>
          <w:szCs w:val="22"/>
        </w:rPr>
        <w:t xml:space="preserve">; </w:t>
      </w:r>
      <w:r w:rsidRPr="00BA2D76">
        <w:rPr>
          <w:rStyle w:val="Hyperlink"/>
          <w:sz w:val="22"/>
          <w:szCs w:val="22"/>
        </w:rPr>
        <w:t>Wildfire</w:t>
      </w:r>
      <w:r w:rsidRPr="00BA2D76">
        <w:rPr>
          <w:sz w:val="22"/>
          <w:szCs w:val="22"/>
        </w:rPr>
        <w:t xml:space="preserve">; </w:t>
      </w:r>
      <w:r w:rsidRPr="00BA2D76">
        <w:rPr>
          <w:rStyle w:val="Hyperlink"/>
          <w:sz w:val="22"/>
          <w:szCs w:val="22"/>
        </w:rPr>
        <w:t>Landslides</w:t>
      </w:r>
      <w:r w:rsidRPr="00BA2D76">
        <w:rPr>
          <w:sz w:val="22"/>
          <w:szCs w:val="22"/>
        </w:rPr>
        <w:t xml:space="preserve">; </w:t>
      </w:r>
      <w:proofErr w:type="gramStart"/>
      <w:r w:rsidRPr="00BA2D76">
        <w:rPr>
          <w:rStyle w:val="Hyperlink"/>
          <w:sz w:val="22"/>
          <w:szCs w:val="22"/>
        </w:rPr>
        <w:t>Snow</w:t>
      </w:r>
      <w:r w:rsidR="00D15F85">
        <w:rPr>
          <w:rStyle w:val="Hyperlink"/>
          <w:sz w:val="22"/>
          <w:szCs w:val="22"/>
        </w:rPr>
        <w:t xml:space="preserve"> </w:t>
      </w:r>
      <w:r w:rsidRPr="00BA2D76">
        <w:rPr>
          <w:rStyle w:val="Hyperlink"/>
          <w:sz w:val="22"/>
          <w:szCs w:val="22"/>
        </w:rPr>
        <w:t>Storm</w:t>
      </w:r>
      <w:proofErr w:type="gramEnd"/>
      <w:r w:rsidR="000652E0" w:rsidRPr="000652E0">
        <w:rPr>
          <w:rStyle w:val="Hyperlink"/>
          <w:color w:val="auto"/>
          <w:sz w:val="22"/>
          <w:szCs w:val="22"/>
        </w:rPr>
        <w:t>;</w:t>
      </w:r>
      <w:r w:rsidRPr="00BA2D76">
        <w:rPr>
          <w:rStyle w:val="Hyperlink"/>
          <w:sz w:val="22"/>
          <w:szCs w:val="22"/>
        </w:rPr>
        <w:t xml:space="preserve"> Ice Storm</w:t>
      </w:r>
      <w:r>
        <w:rPr>
          <w:rStyle w:val="Hyperlink"/>
          <w:sz w:val="22"/>
          <w:szCs w:val="22"/>
        </w:rPr>
        <w:t xml:space="preserve"> </w:t>
      </w:r>
    </w:p>
    <w:p w14:paraId="3ECA0653" w14:textId="03DA0280" w:rsidR="00BA2D76" w:rsidRPr="00BA2D76" w:rsidRDefault="00BA2D76" w:rsidP="00BA2D76">
      <w:pPr>
        <w:pStyle w:val="BasicParagraph"/>
        <w:numPr>
          <w:ilvl w:val="0"/>
          <w:numId w:val="5"/>
        </w:numPr>
        <w:rPr>
          <w:rStyle w:val="Hyperlink"/>
          <w:color w:val="000000"/>
          <w:sz w:val="22"/>
          <w:szCs w:val="22"/>
          <w:u w:val="none"/>
        </w:rPr>
      </w:pPr>
      <w:r w:rsidRPr="00BA2D76">
        <w:rPr>
          <w:b/>
          <w:bCs/>
          <w:sz w:val="22"/>
          <w:szCs w:val="22"/>
        </w:rPr>
        <w:t xml:space="preserve">Temperature: </w:t>
      </w:r>
      <w:r w:rsidRPr="00BA2D76">
        <w:rPr>
          <w:rStyle w:val="Hyperlink"/>
          <w:sz w:val="22"/>
          <w:szCs w:val="22"/>
        </w:rPr>
        <w:t>Extreme Cold</w:t>
      </w:r>
      <w:r w:rsidRPr="00BA2D76">
        <w:rPr>
          <w:sz w:val="22"/>
          <w:szCs w:val="22"/>
        </w:rPr>
        <w:t xml:space="preserve">; </w:t>
      </w:r>
      <w:r w:rsidRPr="00BA2D76">
        <w:rPr>
          <w:rStyle w:val="Hyperlink"/>
          <w:sz w:val="22"/>
          <w:szCs w:val="22"/>
        </w:rPr>
        <w:t>Extreme Heat</w:t>
      </w:r>
      <w:r w:rsidRPr="00BA2D76">
        <w:rPr>
          <w:sz w:val="22"/>
          <w:szCs w:val="22"/>
        </w:rPr>
        <w:t xml:space="preserve">; </w:t>
      </w:r>
      <w:r w:rsidRPr="00BA2D76">
        <w:rPr>
          <w:rStyle w:val="Hyperlink"/>
          <w:sz w:val="22"/>
          <w:szCs w:val="22"/>
        </w:rPr>
        <w:t>Drought</w:t>
      </w:r>
      <w:r w:rsidRPr="00BA2D76">
        <w:rPr>
          <w:sz w:val="22"/>
          <w:szCs w:val="22"/>
        </w:rPr>
        <w:t xml:space="preserve">; </w:t>
      </w:r>
      <w:r w:rsidRPr="00BA2D76">
        <w:rPr>
          <w:rStyle w:val="Hyperlink"/>
          <w:sz w:val="22"/>
          <w:szCs w:val="22"/>
        </w:rPr>
        <w:t>Wildfire</w:t>
      </w:r>
      <w:r w:rsidRPr="00BA2D76">
        <w:rPr>
          <w:sz w:val="22"/>
          <w:szCs w:val="22"/>
        </w:rPr>
        <w:t xml:space="preserve">; </w:t>
      </w:r>
      <w:r w:rsidRPr="00BA2D76">
        <w:rPr>
          <w:rStyle w:val="Hyperlink"/>
          <w:sz w:val="22"/>
          <w:szCs w:val="22"/>
        </w:rPr>
        <w:t>Invasive Species</w:t>
      </w:r>
      <w:r w:rsidRPr="00BA2D76">
        <w:rPr>
          <w:sz w:val="22"/>
          <w:szCs w:val="22"/>
        </w:rPr>
        <w:t xml:space="preserve">; </w:t>
      </w:r>
      <w:r w:rsidRPr="00BA2D76">
        <w:rPr>
          <w:rStyle w:val="Hyperlink"/>
          <w:sz w:val="22"/>
          <w:szCs w:val="22"/>
        </w:rPr>
        <w:t>Infectious Disease</w:t>
      </w:r>
      <w:r w:rsidRPr="00BA2D76">
        <w:rPr>
          <w:sz w:val="22"/>
          <w:szCs w:val="22"/>
        </w:rPr>
        <w:t xml:space="preserve">; </w:t>
      </w:r>
      <w:proofErr w:type="gramStart"/>
      <w:r w:rsidRPr="00BA2D76">
        <w:rPr>
          <w:rStyle w:val="Hyperlink"/>
          <w:sz w:val="22"/>
          <w:szCs w:val="22"/>
        </w:rPr>
        <w:t>Snow Storm</w:t>
      </w:r>
      <w:proofErr w:type="gramEnd"/>
      <w:r w:rsidR="000652E0" w:rsidRPr="000652E0">
        <w:rPr>
          <w:rStyle w:val="Hyperlink"/>
          <w:color w:val="auto"/>
          <w:sz w:val="22"/>
          <w:szCs w:val="22"/>
        </w:rPr>
        <w:t>;</w:t>
      </w:r>
      <w:r w:rsidRPr="00BA2D76">
        <w:rPr>
          <w:rStyle w:val="Hyperlink"/>
          <w:sz w:val="22"/>
          <w:szCs w:val="22"/>
        </w:rPr>
        <w:t xml:space="preserve"> Ice Storm</w:t>
      </w:r>
    </w:p>
    <w:p w14:paraId="3ECA0654" w14:textId="24FA4F9C" w:rsidR="00BA2D76" w:rsidRPr="00BA2D76" w:rsidRDefault="00BA2D76" w:rsidP="00BA2D76">
      <w:pPr>
        <w:pStyle w:val="BasicParagraph"/>
        <w:numPr>
          <w:ilvl w:val="0"/>
          <w:numId w:val="5"/>
        </w:numPr>
        <w:rPr>
          <w:rStyle w:val="Hyperlink"/>
          <w:color w:val="000000"/>
          <w:sz w:val="22"/>
          <w:szCs w:val="22"/>
          <w:u w:val="none"/>
        </w:rPr>
      </w:pPr>
      <w:r w:rsidRPr="00BA2D76">
        <w:rPr>
          <w:b/>
          <w:bCs/>
          <w:sz w:val="22"/>
          <w:szCs w:val="22"/>
        </w:rPr>
        <w:t xml:space="preserve">Snow Cover: </w:t>
      </w:r>
      <w:proofErr w:type="gramStart"/>
      <w:r w:rsidRPr="00BA2D76">
        <w:rPr>
          <w:rStyle w:val="Hyperlink"/>
          <w:sz w:val="22"/>
          <w:szCs w:val="22"/>
        </w:rPr>
        <w:t>Snow Storms</w:t>
      </w:r>
      <w:proofErr w:type="gramEnd"/>
      <w:r w:rsidR="000652E0" w:rsidRPr="000652E0">
        <w:rPr>
          <w:rStyle w:val="Hyperlink"/>
          <w:color w:val="auto"/>
          <w:sz w:val="22"/>
          <w:szCs w:val="22"/>
        </w:rPr>
        <w:t>;</w:t>
      </w:r>
      <w:r w:rsidR="006B0AF8">
        <w:rPr>
          <w:rStyle w:val="Hyperlink"/>
          <w:sz w:val="22"/>
          <w:szCs w:val="22"/>
        </w:rPr>
        <w:t xml:space="preserve"> </w:t>
      </w:r>
      <w:r w:rsidRPr="00BA2D76">
        <w:rPr>
          <w:rStyle w:val="Hyperlink"/>
          <w:sz w:val="22"/>
          <w:szCs w:val="22"/>
        </w:rPr>
        <w:t>Ice Storms</w:t>
      </w:r>
      <w:r w:rsidRPr="00BA2D76">
        <w:rPr>
          <w:sz w:val="22"/>
          <w:szCs w:val="22"/>
        </w:rPr>
        <w:t xml:space="preserve">; </w:t>
      </w:r>
      <w:r w:rsidRPr="00BA2D76">
        <w:rPr>
          <w:rStyle w:val="Hyperlink"/>
          <w:sz w:val="22"/>
          <w:szCs w:val="22"/>
        </w:rPr>
        <w:t>Drought</w:t>
      </w:r>
      <w:r w:rsidRPr="00BA2D76">
        <w:rPr>
          <w:sz w:val="22"/>
          <w:szCs w:val="22"/>
        </w:rPr>
        <w:t xml:space="preserve">; </w:t>
      </w:r>
      <w:r w:rsidRPr="00BA2D76">
        <w:rPr>
          <w:rStyle w:val="Hyperlink"/>
          <w:sz w:val="22"/>
          <w:szCs w:val="22"/>
        </w:rPr>
        <w:t>Wildfire</w:t>
      </w:r>
    </w:p>
    <w:p w14:paraId="3ECA0655" w14:textId="77777777" w:rsidR="00BA2D76" w:rsidRPr="00BA2D76" w:rsidRDefault="00BA2D76" w:rsidP="00BA2D76">
      <w:pPr>
        <w:pStyle w:val="BasicParagraph"/>
        <w:rPr>
          <w:sz w:val="22"/>
          <w:szCs w:val="22"/>
        </w:rPr>
      </w:pPr>
    </w:p>
    <w:p w14:paraId="3ECA0656" w14:textId="17CFBBA0" w:rsidR="00BA2D76" w:rsidRDefault="30C2A27B" w:rsidP="00BA2D76">
      <w:pPr>
        <w:pStyle w:val="BasicParagraph"/>
        <w:rPr>
          <w:sz w:val="22"/>
          <w:szCs w:val="22"/>
        </w:rPr>
      </w:pPr>
      <w:r w:rsidRPr="6C02880B">
        <w:rPr>
          <w:sz w:val="22"/>
          <w:szCs w:val="22"/>
        </w:rPr>
        <w:t xml:space="preserve">The National Aeronautics &amp; Space Administration (NASA) reports that global climate change has already had observable effects on the environment: glaciers are shrinking, sea ice is disappearing, sea level rise is accelerating, heat waves are occurring more frequently and intensely, river and lake ice is breaking up earlier, plant and animal ranges have shifted, and trees are flowering sooner. Though climate change is expected to have global reach, the impacts differ by region. While the southwestern United States is expected to experience increased heat, wildfire, drought and insect outbreaks, the northeastern region is predicted to experience increases in heat waves, </w:t>
      </w:r>
      <w:proofErr w:type="gramStart"/>
      <w:r w:rsidRPr="6C02880B">
        <w:rPr>
          <w:sz w:val="22"/>
          <w:szCs w:val="22"/>
        </w:rPr>
        <w:t>downpours</w:t>
      </w:r>
      <w:proofErr w:type="gramEnd"/>
      <w:r w:rsidRPr="6C02880B">
        <w:rPr>
          <w:sz w:val="22"/>
          <w:szCs w:val="22"/>
        </w:rPr>
        <w:t xml:space="preserve"> and flooding. Accordingly, consideration of climate change was identified as a key guiding principle of the 2</w:t>
      </w:r>
      <w:r w:rsidR="6BF5FA12" w:rsidRPr="6C02880B">
        <w:rPr>
          <w:sz w:val="22"/>
          <w:szCs w:val="22"/>
        </w:rPr>
        <w:t xml:space="preserve">023 </w:t>
      </w:r>
      <w:r w:rsidRPr="6C02880B">
        <w:rPr>
          <w:sz w:val="22"/>
          <w:szCs w:val="22"/>
        </w:rPr>
        <w:t xml:space="preserve">SHMP, addressed in each of the pertinent hazard profiles and incorporated into all relevant mitigation actions. </w:t>
      </w:r>
    </w:p>
    <w:p w14:paraId="3ECA0657" w14:textId="77777777" w:rsidR="00BA2D76" w:rsidRDefault="00BA2D76" w:rsidP="00BA2D76">
      <w:pPr>
        <w:pStyle w:val="BasicParagraph"/>
        <w:rPr>
          <w:sz w:val="22"/>
          <w:szCs w:val="22"/>
        </w:rPr>
      </w:pPr>
    </w:p>
    <w:tbl>
      <w:tblPr>
        <w:tblW w:w="10260" w:type="dxa"/>
        <w:tblInd w:w="-10" w:type="dxa"/>
        <w:tblLayout w:type="fixed"/>
        <w:tblCellMar>
          <w:left w:w="0" w:type="dxa"/>
          <w:right w:w="0" w:type="dxa"/>
        </w:tblCellMar>
        <w:tblLook w:val="0000" w:firstRow="0" w:lastRow="0" w:firstColumn="0" w:lastColumn="0" w:noHBand="0" w:noVBand="0"/>
      </w:tblPr>
      <w:tblGrid>
        <w:gridCol w:w="1890"/>
        <w:gridCol w:w="990"/>
        <w:gridCol w:w="7380"/>
      </w:tblGrid>
      <w:tr w:rsidR="00BA2D76" w:rsidRPr="00BA2D76" w14:paraId="3ECA0659" w14:textId="77777777" w:rsidTr="102F7023">
        <w:trPr>
          <w:trHeight w:val="25"/>
        </w:trPr>
        <w:tc>
          <w:tcPr>
            <w:tcW w:w="10260" w:type="dxa"/>
            <w:gridSpan w:val="3"/>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6F6F6F"/>
            <w:tcMar>
              <w:top w:w="80" w:type="dxa"/>
              <w:left w:w="80" w:type="dxa"/>
              <w:bottom w:w="80" w:type="dxa"/>
              <w:right w:w="80" w:type="dxa"/>
            </w:tcMar>
          </w:tcPr>
          <w:p w14:paraId="3ECA0658" w14:textId="2235F595" w:rsidR="00BA2D76" w:rsidRPr="00BA2D76" w:rsidRDefault="30C2A27B" w:rsidP="102F7023">
            <w:pPr>
              <w:pStyle w:val="Tables"/>
              <w:spacing w:line="240" w:lineRule="auto"/>
              <w:contextualSpacing/>
              <w:rPr>
                <w:rFonts w:asciiTheme="minorHAnsi" w:hAnsiTheme="minorHAnsi" w:cstheme="minorBidi"/>
                <w:sz w:val="20"/>
                <w:szCs w:val="20"/>
              </w:rPr>
            </w:pPr>
            <w:r w:rsidRPr="102F7023">
              <w:rPr>
                <w:rFonts w:asciiTheme="minorHAnsi" w:hAnsiTheme="minorHAnsi" w:cstheme="minorBidi"/>
                <w:b/>
                <w:bCs/>
                <w:color w:val="FFFFFF" w:themeColor="background1"/>
                <w:sz w:val="20"/>
                <w:szCs w:val="20"/>
              </w:rPr>
              <w:t>Table 14: Observed Climate Trends – Vermont’s 2017 Forest Action Plan</w:t>
            </w:r>
          </w:p>
        </w:tc>
      </w:tr>
      <w:tr w:rsidR="00BA2D76" w:rsidRPr="00BA2D76" w14:paraId="3ECA065D" w14:textId="77777777" w:rsidTr="102F7023">
        <w:trPr>
          <w:trHeight w:val="25"/>
        </w:trPr>
        <w:tc>
          <w:tcPr>
            <w:tcW w:w="189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1713F"/>
            <w:tcMar>
              <w:top w:w="80" w:type="dxa"/>
              <w:left w:w="80" w:type="dxa"/>
              <w:bottom w:w="80" w:type="dxa"/>
              <w:right w:w="80" w:type="dxa"/>
            </w:tcMar>
          </w:tcPr>
          <w:p w14:paraId="3ECA065A" w14:textId="77777777" w:rsidR="00BA2D76" w:rsidRPr="00BA2D76" w:rsidRDefault="00BA2D76" w:rsidP="00BA2D76">
            <w:pPr>
              <w:pStyle w:val="BasicParagraph"/>
              <w:spacing w:line="240" w:lineRule="auto"/>
              <w:contextualSpacing/>
              <w:rPr>
                <w:rFonts w:asciiTheme="minorHAnsi" w:hAnsiTheme="minorHAnsi" w:cstheme="minorHAnsi"/>
                <w:sz w:val="20"/>
                <w:szCs w:val="20"/>
              </w:rPr>
            </w:pPr>
            <w:r w:rsidRPr="00BA2D76">
              <w:rPr>
                <w:rFonts w:asciiTheme="minorHAnsi" w:hAnsiTheme="minorHAnsi" w:cstheme="minorHAnsi"/>
                <w:b/>
                <w:bCs/>
                <w:color w:val="FFFFFF"/>
                <w:sz w:val="20"/>
                <w:szCs w:val="20"/>
              </w:rPr>
              <w:t>Parameter</w:t>
            </w:r>
          </w:p>
        </w:tc>
        <w:tc>
          <w:tcPr>
            <w:tcW w:w="99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1713F"/>
            <w:tcMar>
              <w:top w:w="80" w:type="dxa"/>
              <w:left w:w="80" w:type="dxa"/>
              <w:bottom w:w="80" w:type="dxa"/>
              <w:right w:w="80" w:type="dxa"/>
            </w:tcMar>
          </w:tcPr>
          <w:p w14:paraId="3ECA065B" w14:textId="77777777" w:rsidR="00BA2D76" w:rsidRPr="00BA2D76" w:rsidRDefault="00BA2D76" w:rsidP="00BA2D76">
            <w:pPr>
              <w:pStyle w:val="BasicParagraph"/>
              <w:spacing w:line="240" w:lineRule="auto"/>
              <w:contextualSpacing/>
              <w:rPr>
                <w:rFonts w:asciiTheme="minorHAnsi" w:hAnsiTheme="minorHAnsi" w:cstheme="minorHAnsi"/>
                <w:sz w:val="20"/>
                <w:szCs w:val="20"/>
              </w:rPr>
            </w:pPr>
            <w:r w:rsidRPr="00BA2D76">
              <w:rPr>
                <w:rFonts w:asciiTheme="minorHAnsi" w:hAnsiTheme="minorHAnsi" w:cstheme="minorHAnsi"/>
                <w:b/>
                <w:bCs/>
                <w:color w:val="FFFFFF"/>
                <w:sz w:val="20"/>
                <w:szCs w:val="20"/>
              </w:rPr>
              <w:t>Trend</w:t>
            </w:r>
          </w:p>
        </w:tc>
        <w:tc>
          <w:tcPr>
            <w:tcW w:w="738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1713F"/>
            <w:tcMar>
              <w:top w:w="80" w:type="dxa"/>
              <w:left w:w="80" w:type="dxa"/>
              <w:bottom w:w="80" w:type="dxa"/>
              <w:right w:w="80" w:type="dxa"/>
            </w:tcMar>
          </w:tcPr>
          <w:p w14:paraId="3ECA065C" w14:textId="77777777" w:rsidR="00BA2D76" w:rsidRPr="00BA2D76" w:rsidRDefault="00BA2D76" w:rsidP="00BA2D76">
            <w:pPr>
              <w:pStyle w:val="BasicParagraph"/>
              <w:spacing w:line="240" w:lineRule="auto"/>
              <w:contextualSpacing/>
              <w:rPr>
                <w:rFonts w:asciiTheme="minorHAnsi" w:hAnsiTheme="minorHAnsi" w:cstheme="minorHAnsi"/>
                <w:sz w:val="20"/>
                <w:szCs w:val="20"/>
              </w:rPr>
            </w:pPr>
            <w:r w:rsidRPr="00BA2D76">
              <w:rPr>
                <w:rFonts w:asciiTheme="minorHAnsi" w:hAnsiTheme="minorHAnsi" w:cstheme="minorHAnsi"/>
                <w:b/>
                <w:bCs/>
                <w:color w:val="FFFFFF"/>
                <w:sz w:val="20"/>
                <w:szCs w:val="20"/>
              </w:rPr>
              <w:t>Projections</w:t>
            </w:r>
          </w:p>
        </w:tc>
      </w:tr>
      <w:tr w:rsidR="00BA2D76" w:rsidRPr="00BA2D76" w14:paraId="3ECA065F" w14:textId="77777777" w:rsidTr="102F7023">
        <w:trPr>
          <w:trHeight w:val="25"/>
        </w:trPr>
        <w:tc>
          <w:tcPr>
            <w:tcW w:w="10260" w:type="dxa"/>
            <w:gridSpan w:val="3"/>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1713F"/>
            <w:tcMar>
              <w:top w:w="80" w:type="dxa"/>
              <w:left w:w="80" w:type="dxa"/>
              <w:bottom w:w="80" w:type="dxa"/>
              <w:right w:w="80" w:type="dxa"/>
            </w:tcMar>
          </w:tcPr>
          <w:p w14:paraId="3ECA065E" w14:textId="77777777" w:rsidR="00BA2D76" w:rsidRPr="00BA2D76" w:rsidRDefault="00BA2D76" w:rsidP="00BA2D76">
            <w:pPr>
              <w:pStyle w:val="BasicParagraph"/>
              <w:spacing w:line="240" w:lineRule="auto"/>
              <w:contextualSpacing/>
              <w:rPr>
                <w:rFonts w:asciiTheme="minorHAnsi" w:hAnsiTheme="minorHAnsi" w:cstheme="minorHAnsi"/>
                <w:sz w:val="20"/>
                <w:szCs w:val="20"/>
              </w:rPr>
            </w:pPr>
            <w:r w:rsidRPr="00BA2D76">
              <w:rPr>
                <w:rFonts w:asciiTheme="minorHAnsi" w:hAnsiTheme="minorHAnsi" w:cstheme="minorHAnsi"/>
                <w:b/>
                <w:bCs/>
                <w:color w:val="FFFFFF"/>
                <w:sz w:val="20"/>
                <w:szCs w:val="20"/>
              </w:rPr>
              <w:t>Temperature</w:t>
            </w:r>
          </w:p>
        </w:tc>
      </w:tr>
      <w:tr w:rsidR="00BA2D76" w:rsidRPr="00BA2D76" w14:paraId="3ECA0663" w14:textId="77777777" w:rsidTr="102F7023">
        <w:trPr>
          <w:trHeight w:val="25"/>
        </w:trPr>
        <w:tc>
          <w:tcPr>
            <w:tcW w:w="189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4AC3E"/>
            <w:tcMar>
              <w:top w:w="80" w:type="dxa"/>
              <w:left w:w="80" w:type="dxa"/>
              <w:bottom w:w="80" w:type="dxa"/>
              <w:right w:w="80" w:type="dxa"/>
            </w:tcMar>
          </w:tcPr>
          <w:p w14:paraId="3ECA0660" w14:textId="77777777" w:rsidR="00BA2D76" w:rsidRPr="00BA2D76" w:rsidRDefault="00BA2D76" w:rsidP="00BA2D76">
            <w:pPr>
              <w:pStyle w:val="BasicParagraph"/>
              <w:spacing w:line="240" w:lineRule="auto"/>
              <w:contextualSpacing/>
              <w:rPr>
                <w:rFonts w:asciiTheme="minorHAnsi" w:hAnsiTheme="minorHAnsi" w:cstheme="minorHAnsi"/>
                <w:sz w:val="20"/>
                <w:szCs w:val="20"/>
              </w:rPr>
            </w:pPr>
            <w:r w:rsidRPr="00BA2D76">
              <w:rPr>
                <w:rFonts w:asciiTheme="minorHAnsi" w:hAnsiTheme="minorHAnsi" w:cstheme="minorHAnsi"/>
                <w:sz w:val="20"/>
                <w:szCs w:val="20"/>
              </w:rPr>
              <w:t>Annual Temperature</w:t>
            </w:r>
          </w:p>
        </w:tc>
        <w:tc>
          <w:tcPr>
            <w:tcW w:w="99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4AC3E"/>
            <w:tcMar>
              <w:top w:w="80" w:type="dxa"/>
              <w:left w:w="80" w:type="dxa"/>
              <w:bottom w:w="80" w:type="dxa"/>
              <w:right w:w="80" w:type="dxa"/>
            </w:tcMar>
          </w:tcPr>
          <w:p w14:paraId="3ECA0661" w14:textId="77777777" w:rsidR="00BA2D76" w:rsidRPr="00BA2D76" w:rsidRDefault="00BA2D76" w:rsidP="00BA2D76">
            <w:pPr>
              <w:pStyle w:val="BasicParagraph"/>
              <w:spacing w:line="240" w:lineRule="auto"/>
              <w:contextualSpacing/>
              <w:rPr>
                <w:rFonts w:asciiTheme="minorHAnsi" w:hAnsiTheme="minorHAnsi" w:cstheme="minorHAnsi"/>
                <w:sz w:val="20"/>
                <w:szCs w:val="20"/>
              </w:rPr>
            </w:pPr>
            <w:r w:rsidRPr="00BA2D76">
              <w:rPr>
                <w:rFonts w:asciiTheme="minorHAnsi" w:hAnsiTheme="minorHAnsi" w:cstheme="minorHAnsi"/>
                <w:sz w:val="20"/>
                <w:szCs w:val="20"/>
              </w:rPr>
              <w:t>Increase</w:t>
            </w:r>
          </w:p>
        </w:tc>
        <w:tc>
          <w:tcPr>
            <w:tcW w:w="738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4AC3E"/>
            <w:tcMar>
              <w:top w:w="80" w:type="dxa"/>
              <w:left w:w="80" w:type="dxa"/>
              <w:bottom w:w="80" w:type="dxa"/>
              <w:right w:w="80" w:type="dxa"/>
            </w:tcMar>
          </w:tcPr>
          <w:p w14:paraId="3ECA0662" w14:textId="77777777" w:rsidR="00BA2D76" w:rsidRPr="00BA2D76" w:rsidRDefault="00BA2D76" w:rsidP="00BA2D76">
            <w:pPr>
              <w:pStyle w:val="BasicParagraph"/>
              <w:spacing w:line="240" w:lineRule="auto"/>
              <w:contextualSpacing/>
              <w:rPr>
                <w:rFonts w:asciiTheme="minorHAnsi" w:hAnsiTheme="minorHAnsi" w:cstheme="minorHAnsi"/>
                <w:sz w:val="20"/>
                <w:szCs w:val="20"/>
              </w:rPr>
            </w:pPr>
            <w:r w:rsidRPr="00BA2D76">
              <w:rPr>
                <w:rFonts w:asciiTheme="minorHAnsi" w:hAnsiTheme="minorHAnsi" w:cstheme="minorHAnsi"/>
                <w:sz w:val="20"/>
                <w:szCs w:val="20"/>
              </w:rPr>
              <w:t>By 2050, projected increase in average annual temperature by 3.7-5.8° F; by 2100, increase by 5.0-9.5° F.</w:t>
            </w:r>
          </w:p>
        </w:tc>
      </w:tr>
      <w:tr w:rsidR="00BA2D76" w:rsidRPr="00BA2D76" w14:paraId="3ECA0667" w14:textId="77777777" w:rsidTr="102F7023">
        <w:trPr>
          <w:trHeight w:val="197"/>
        </w:trPr>
        <w:tc>
          <w:tcPr>
            <w:tcW w:w="189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4AC3E"/>
            <w:tcMar>
              <w:top w:w="80" w:type="dxa"/>
              <w:left w:w="80" w:type="dxa"/>
              <w:bottom w:w="80" w:type="dxa"/>
              <w:right w:w="80" w:type="dxa"/>
            </w:tcMar>
          </w:tcPr>
          <w:p w14:paraId="3ECA0664" w14:textId="77777777" w:rsidR="00BA2D76" w:rsidRPr="00BA2D76" w:rsidRDefault="00BA2D76" w:rsidP="00BA2D76">
            <w:pPr>
              <w:pStyle w:val="BasicParagraph"/>
              <w:spacing w:line="240" w:lineRule="auto"/>
              <w:contextualSpacing/>
              <w:rPr>
                <w:rFonts w:asciiTheme="minorHAnsi" w:hAnsiTheme="minorHAnsi" w:cstheme="minorHAnsi"/>
                <w:sz w:val="20"/>
                <w:szCs w:val="20"/>
              </w:rPr>
            </w:pPr>
            <w:r w:rsidRPr="00BA2D76">
              <w:rPr>
                <w:rFonts w:asciiTheme="minorHAnsi" w:hAnsiTheme="minorHAnsi" w:cstheme="minorHAnsi"/>
                <w:sz w:val="20"/>
                <w:szCs w:val="20"/>
              </w:rPr>
              <w:t>Seasonal Temperature</w:t>
            </w:r>
          </w:p>
        </w:tc>
        <w:tc>
          <w:tcPr>
            <w:tcW w:w="99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4AC3E"/>
            <w:tcMar>
              <w:top w:w="80" w:type="dxa"/>
              <w:left w:w="80" w:type="dxa"/>
              <w:bottom w:w="80" w:type="dxa"/>
              <w:right w:w="80" w:type="dxa"/>
            </w:tcMar>
          </w:tcPr>
          <w:p w14:paraId="3ECA0665" w14:textId="77777777" w:rsidR="00BA2D76" w:rsidRPr="00BA2D76" w:rsidRDefault="00BA2D76" w:rsidP="00BA2D76">
            <w:pPr>
              <w:pStyle w:val="BasicParagraph"/>
              <w:spacing w:line="240" w:lineRule="auto"/>
              <w:contextualSpacing/>
              <w:rPr>
                <w:rFonts w:asciiTheme="minorHAnsi" w:hAnsiTheme="minorHAnsi" w:cstheme="minorHAnsi"/>
                <w:sz w:val="20"/>
                <w:szCs w:val="20"/>
              </w:rPr>
            </w:pPr>
            <w:r w:rsidRPr="00BA2D76">
              <w:rPr>
                <w:rFonts w:asciiTheme="minorHAnsi" w:hAnsiTheme="minorHAnsi" w:cstheme="minorHAnsi"/>
                <w:sz w:val="20"/>
                <w:szCs w:val="20"/>
              </w:rPr>
              <w:t>Increase</w:t>
            </w:r>
          </w:p>
        </w:tc>
        <w:tc>
          <w:tcPr>
            <w:tcW w:w="738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4AC3E"/>
            <w:tcMar>
              <w:top w:w="80" w:type="dxa"/>
              <w:left w:w="80" w:type="dxa"/>
              <w:bottom w:w="80" w:type="dxa"/>
              <w:right w:w="80" w:type="dxa"/>
            </w:tcMar>
          </w:tcPr>
          <w:p w14:paraId="3ECA0666" w14:textId="77777777" w:rsidR="00BA2D76" w:rsidRPr="00BA2D76" w:rsidRDefault="00BA2D76" w:rsidP="00BA2D76">
            <w:pPr>
              <w:pStyle w:val="BasicParagraph"/>
              <w:spacing w:line="240" w:lineRule="auto"/>
              <w:contextualSpacing/>
              <w:rPr>
                <w:rFonts w:asciiTheme="minorHAnsi" w:hAnsiTheme="minorHAnsi" w:cstheme="minorHAnsi"/>
                <w:sz w:val="20"/>
                <w:szCs w:val="20"/>
              </w:rPr>
            </w:pPr>
            <w:r w:rsidRPr="00BA2D76">
              <w:rPr>
                <w:rFonts w:asciiTheme="minorHAnsi" w:hAnsiTheme="minorHAnsi" w:cstheme="minorHAnsi"/>
                <w:sz w:val="20"/>
                <w:szCs w:val="20"/>
              </w:rPr>
              <w:t>By 2050, projected increase in average winter temperature (December, January, February) by 4.3-6.1° F; average summer temperature (June, July, August) by 3.8-6.4° F</w:t>
            </w:r>
          </w:p>
        </w:tc>
      </w:tr>
      <w:tr w:rsidR="00BA2D76" w:rsidRPr="00BA2D76" w14:paraId="3ECA066B" w14:textId="77777777" w:rsidTr="102F7023">
        <w:trPr>
          <w:trHeight w:val="25"/>
        </w:trPr>
        <w:tc>
          <w:tcPr>
            <w:tcW w:w="189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4AC3E"/>
            <w:tcMar>
              <w:top w:w="80" w:type="dxa"/>
              <w:left w:w="80" w:type="dxa"/>
              <w:bottom w:w="80" w:type="dxa"/>
              <w:right w:w="80" w:type="dxa"/>
            </w:tcMar>
          </w:tcPr>
          <w:p w14:paraId="3ECA0668" w14:textId="77777777" w:rsidR="00BA2D76" w:rsidRPr="00BA2D76" w:rsidRDefault="00BA2D76" w:rsidP="00BA2D76">
            <w:pPr>
              <w:pStyle w:val="BasicParagraph"/>
              <w:spacing w:line="240" w:lineRule="auto"/>
              <w:contextualSpacing/>
              <w:rPr>
                <w:rFonts w:asciiTheme="minorHAnsi" w:hAnsiTheme="minorHAnsi" w:cstheme="minorHAnsi"/>
                <w:sz w:val="20"/>
                <w:szCs w:val="20"/>
              </w:rPr>
            </w:pPr>
            <w:r w:rsidRPr="00BA2D76">
              <w:rPr>
                <w:rFonts w:asciiTheme="minorHAnsi" w:hAnsiTheme="minorHAnsi" w:cstheme="minorHAnsi"/>
                <w:sz w:val="20"/>
                <w:szCs w:val="20"/>
              </w:rPr>
              <w:t>Hot Days &gt; 90°F</w:t>
            </w:r>
          </w:p>
        </w:tc>
        <w:tc>
          <w:tcPr>
            <w:tcW w:w="99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4AC3E"/>
            <w:tcMar>
              <w:top w:w="80" w:type="dxa"/>
              <w:left w:w="80" w:type="dxa"/>
              <w:bottom w:w="80" w:type="dxa"/>
              <w:right w:w="80" w:type="dxa"/>
            </w:tcMar>
          </w:tcPr>
          <w:p w14:paraId="3ECA0669" w14:textId="77777777" w:rsidR="00BA2D76" w:rsidRPr="00BA2D76" w:rsidRDefault="00BA2D76" w:rsidP="00BA2D76">
            <w:pPr>
              <w:pStyle w:val="BasicParagraph"/>
              <w:spacing w:line="240" w:lineRule="auto"/>
              <w:contextualSpacing/>
              <w:rPr>
                <w:rFonts w:asciiTheme="minorHAnsi" w:hAnsiTheme="minorHAnsi" w:cstheme="minorHAnsi"/>
                <w:sz w:val="20"/>
                <w:szCs w:val="20"/>
              </w:rPr>
            </w:pPr>
            <w:r w:rsidRPr="00BA2D76">
              <w:rPr>
                <w:rFonts w:asciiTheme="minorHAnsi" w:hAnsiTheme="minorHAnsi" w:cstheme="minorHAnsi"/>
                <w:sz w:val="20"/>
                <w:szCs w:val="20"/>
              </w:rPr>
              <w:t>Increase</w:t>
            </w:r>
          </w:p>
        </w:tc>
        <w:tc>
          <w:tcPr>
            <w:tcW w:w="738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4AC3E"/>
            <w:tcMar>
              <w:top w:w="80" w:type="dxa"/>
              <w:left w:w="80" w:type="dxa"/>
              <w:bottom w:w="80" w:type="dxa"/>
              <w:right w:w="80" w:type="dxa"/>
            </w:tcMar>
          </w:tcPr>
          <w:p w14:paraId="3ECA066A" w14:textId="77777777" w:rsidR="00BA2D76" w:rsidRPr="00BA2D76" w:rsidRDefault="00BA2D76" w:rsidP="00BA2D76">
            <w:pPr>
              <w:pStyle w:val="BasicParagraph"/>
              <w:spacing w:line="240" w:lineRule="auto"/>
              <w:contextualSpacing/>
              <w:rPr>
                <w:rFonts w:asciiTheme="minorHAnsi" w:hAnsiTheme="minorHAnsi" w:cstheme="minorHAnsi"/>
                <w:sz w:val="20"/>
                <w:szCs w:val="20"/>
              </w:rPr>
            </w:pPr>
            <w:r w:rsidRPr="00BA2D76">
              <w:rPr>
                <w:rFonts w:asciiTheme="minorHAnsi" w:hAnsiTheme="minorHAnsi" w:cstheme="minorHAnsi"/>
                <w:sz w:val="20"/>
                <w:szCs w:val="20"/>
              </w:rPr>
              <w:t>More frequent and more intense; by the end of the century, northern cities can expect 30-60+ days with maximum daily temperatures &gt;90° F</w:t>
            </w:r>
          </w:p>
        </w:tc>
      </w:tr>
      <w:tr w:rsidR="00BA2D76" w:rsidRPr="00BA2D76" w14:paraId="3ECA066F" w14:textId="77777777" w:rsidTr="102F7023">
        <w:trPr>
          <w:trHeight w:val="25"/>
        </w:trPr>
        <w:tc>
          <w:tcPr>
            <w:tcW w:w="189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4AC3E"/>
            <w:tcMar>
              <w:top w:w="80" w:type="dxa"/>
              <w:left w:w="80" w:type="dxa"/>
              <w:bottom w:w="80" w:type="dxa"/>
              <w:right w:w="80" w:type="dxa"/>
            </w:tcMar>
          </w:tcPr>
          <w:p w14:paraId="3ECA066C" w14:textId="77777777" w:rsidR="00BA2D76" w:rsidRPr="00BA2D76" w:rsidRDefault="00BA2D76" w:rsidP="00BA2D76">
            <w:pPr>
              <w:pStyle w:val="BasicParagraph"/>
              <w:spacing w:line="240" w:lineRule="auto"/>
              <w:contextualSpacing/>
              <w:rPr>
                <w:rFonts w:asciiTheme="minorHAnsi" w:hAnsiTheme="minorHAnsi" w:cstheme="minorHAnsi"/>
                <w:sz w:val="20"/>
                <w:szCs w:val="20"/>
              </w:rPr>
            </w:pPr>
            <w:r w:rsidRPr="00BA2D76">
              <w:rPr>
                <w:rFonts w:asciiTheme="minorHAnsi" w:hAnsiTheme="minorHAnsi" w:cstheme="minorHAnsi"/>
                <w:sz w:val="20"/>
                <w:szCs w:val="20"/>
              </w:rPr>
              <w:t>Cold Days &lt; 0°F</w:t>
            </w:r>
          </w:p>
        </w:tc>
        <w:tc>
          <w:tcPr>
            <w:tcW w:w="99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4AC3E"/>
            <w:tcMar>
              <w:top w:w="80" w:type="dxa"/>
              <w:left w:w="80" w:type="dxa"/>
              <w:bottom w:w="80" w:type="dxa"/>
              <w:right w:w="80" w:type="dxa"/>
            </w:tcMar>
          </w:tcPr>
          <w:p w14:paraId="3ECA066D" w14:textId="77777777" w:rsidR="00BA2D76" w:rsidRPr="00BA2D76" w:rsidRDefault="00BA2D76" w:rsidP="00BA2D76">
            <w:pPr>
              <w:pStyle w:val="BasicParagraph"/>
              <w:spacing w:line="240" w:lineRule="auto"/>
              <w:contextualSpacing/>
              <w:rPr>
                <w:rFonts w:asciiTheme="minorHAnsi" w:hAnsiTheme="minorHAnsi" w:cstheme="minorHAnsi"/>
                <w:sz w:val="20"/>
                <w:szCs w:val="20"/>
              </w:rPr>
            </w:pPr>
            <w:r w:rsidRPr="00BA2D76">
              <w:rPr>
                <w:rFonts w:asciiTheme="minorHAnsi" w:hAnsiTheme="minorHAnsi" w:cstheme="minorHAnsi"/>
                <w:sz w:val="20"/>
                <w:szCs w:val="20"/>
              </w:rPr>
              <w:t>Decrease</w:t>
            </w:r>
          </w:p>
        </w:tc>
        <w:tc>
          <w:tcPr>
            <w:tcW w:w="738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4AC3E"/>
            <w:tcMar>
              <w:top w:w="80" w:type="dxa"/>
              <w:left w:w="80" w:type="dxa"/>
              <w:bottom w:w="80" w:type="dxa"/>
              <w:right w:w="80" w:type="dxa"/>
            </w:tcMar>
          </w:tcPr>
          <w:p w14:paraId="3ECA066E" w14:textId="77777777" w:rsidR="00BA2D76" w:rsidRPr="00BA2D76" w:rsidRDefault="00BA2D76" w:rsidP="00BA2D76">
            <w:pPr>
              <w:pStyle w:val="BasicParagraph"/>
              <w:spacing w:line="240" w:lineRule="auto"/>
              <w:contextualSpacing/>
              <w:rPr>
                <w:rFonts w:asciiTheme="minorHAnsi" w:hAnsiTheme="minorHAnsi" w:cstheme="minorHAnsi"/>
                <w:sz w:val="20"/>
                <w:szCs w:val="20"/>
              </w:rPr>
            </w:pPr>
            <w:r w:rsidRPr="00BA2D76">
              <w:rPr>
                <w:rFonts w:asciiTheme="minorHAnsi" w:hAnsiTheme="minorHAnsi" w:cstheme="minorHAnsi"/>
                <w:sz w:val="20"/>
                <w:szCs w:val="20"/>
              </w:rPr>
              <w:t>Reduction in days with minimum daily temperatures &lt;0° F</w:t>
            </w:r>
          </w:p>
        </w:tc>
      </w:tr>
      <w:tr w:rsidR="00BA2D76" w:rsidRPr="00BA2D76" w14:paraId="3ECA0673" w14:textId="77777777" w:rsidTr="102F7023">
        <w:trPr>
          <w:trHeight w:val="310"/>
        </w:trPr>
        <w:tc>
          <w:tcPr>
            <w:tcW w:w="189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4AC3E"/>
            <w:tcMar>
              <w:top w:w="80" w:type="dxa"/>
              <w:left w:w="80" w:type="dxa"/>
              <w:bottom w:w="80" w:type="dxa"/>
              <w:right w:w="80" w:type="dxa"/>
            </w:tcMar>
          </w:tcPr>
          <w:p w14:paraId="3ECA0670" w14:textId="77777777" w:rsidR="00BA2D76" w:rsidRPr="00BA2D76" w:rsidRDefault="00BA2D76" w:rsidP="00BA2D76">
            <w:pPr>
              <w:pStyle w:val="BasicParagraph"/>
              <w:spacing w:line="240" w:lineRule="auto"/>
              <w:contextualSpacing/>
              <w:rPr>
                <w:rFonts w:asciiTheme="minorHAnsi" w:hAnsiTheme="minorHAnsi" w:cstheme="minorHAnsi"/>
                <w:sz w:val="20"/>
                <w:szCs w:val="20"/>
              </w:rPr>
            </w:pPr>
            <w:r w:rsidRPr="00BA2D76">
              <w:rPr>
                <w:rFonts w:asciiTheme="minorHAnsi" w:hAnsiTheme="minorHAnsi" w:cstheme="minorHAnsi"/>
                <w:sz w:val="20"/>
                <w:szCs w:val="20"/>
              </w:rPr>
              <w:t>Variability</w:t>
            </w:r>
          </w:p>
        </w:tc>
        <w:tc>
          <w:tcPr>
            <w:tcW w:w="99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4AC3E"/>
            <w:tcMar>
              <w:top w:w="80" w:type="dxa"/>
              <w:left w:w="80" w:type="dxa"/>
              <w:bottom w:w="80" w:type="dxa"/>
              <w:right w:w="80" w:type="dxa"/>
            </w:tcMar>
          </w:tcPr>
          <w:p w14:paraId="3ECA0671" w14:textId="77777777" w:rsidR="00BA2D76" w:rsidRPr="00BA2D76" w:rsidRDefault="00BA2D76" w:rsidP="00BA2D76">
            <w:pPr>
              <w:pStyle w:val="BasicParagraph"/>
              <w:spacing w:line="240" w:lineRule="auto"/>
              <w:contextualSpacing/>
              <w:rPr>
                <w:rFonts w:asciiTheme="minorHAnsi" w:hAnsiTheme="minorHAnsi" w:cstheme="minorHAnsi"/>
                <w:sz w:val="20"/>
                <w:szCs w:val="20"/>
              </w:rPr>
            </w:pPr>
            <w:r w:rsidRPr="00BA2D76">
              <w:rPr>
                <w:rFonts w:asciiTheme="minorHAnsi" w:hAnsiTheme="minorHAnsi" w:cstheme="minorHAnsi"/>
                <w:sz w:val="20"/>
                <w:szCs w:val="20"/>
              </w:rPr>
              <w:t>Increase</w:t>
            </w:r>
          </w:p>
        </w:tc>
        <w:tc>
          <w:tcPr>
            <w:tcW w:w="738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4AC3E"/>
            <w:tcMar>
              <w:top w:w="80" w:type="dxa"/>
              <w:left w:w="80" w:type="dxa"/>
              <w:bottom w:w="80" w:type="dxa"/>
              <w:right w:w="80" w:type="dxa"/>
            </w:tcMar>
          </w:tcPr>
          <w:p w14:paraId="3ECA0672" w14:textId="77777777" w:rsidR="00BA2D76" w:rsidRPr="00BA2D76" w:rsidRDefault="00BA2D76" w:rsidP="00BA2D76">
            <w:pPr>
              <w:pStyle w:val="BasicParagraph"/>
              <w:spacing w:line="240" w:lineRule="auto"/>
              <w:contextualSpacing/>
              <w:rPr>
                <w:rFonts w:asciiTheme="minorHAnsi" w:hAnsiTheme="minorHAnsi" w:cstheme="minorHAnsi"/>
                <w:sz w:val="20"/>
                <w:szCs w:val="20"/>
              </w:rPr>
            </w:pPr>
            <w:r w:rsidRPr="00BA2D76">
              <w:rPr>
                <w:rFonts w:asciiTheme="minorHAnsi" w:hAnsiTheme="minorHAnsi" w:cstheme="minorHAnsi"/>
                <w:sz w:val="20"/>
                <w:szCs w:val="20"/>
              </w:rPr>
              <w:t>Greater variability (more ups and downs)</w:t>
            </w:r>
          </w:p>
        </w:tc>
      </w:tr>
      <w:tr w:rsidR="00BA2D76" w:rsidRPr="00BA2D76" w14:paraId="3ECA0675" w14:textId="77777777" w:rsidTr="102F7023">
        <w:trPr>
          <w:trHeight w:val="25"/>
        </w:trPr>
        <w:tc>
          <w:tcPr>
            <w:tcW w:w="10260" w:type="dxa"/>
            <w:gridSpan w:val="3"/>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1713F"/>
            <w:tcMar>
              <w:top w:w="80" w:type="dxa"/>
              <w:left w:w="80" w:type="dxa"/>
              <w:bottom w:w="80" w:type="dxa"/>
              <w:right w:w="80" w:type="dxa"/>
            </w:tcMar>
          </w:tcPr>
          <w:p w14:paraId="3ECA0674" w14:textId="77777777" w:rsidR="00BA2D76" w:rsidRPr="00BA2D76" w:rsidRDefault="00BA2D76" w:rsidP="00BA2D76">
            <w:pPr>
              <w:pStyle w:val="BasicParagraph"/>
              <w:spacing w:line="240" w:lineRule="auto"/>
              <w:contextualSpacing/>
              <w:rPr>
                <w:rFonts w:asciiTheme="minorHAnsi" w:hAnsiTheme="minorHAnsi" w:cstheme="minorHAnsi"/>
                <w:sz w:val="20"/>
                <w:szCs w:val="20"/>
              </w:rPr>
            </w:pPr>
            <w:r w:rsidRPr="00BA2D76">
              <w:rPr>
                <w:rFonts w:asciiTheme="minorHAnsi" w:hAnsiTheme="minorHAnsi" w:cstheme="minorHAnsi"/>
                <w:b/>
                <w:bCs/>
                <w:color w:val="FFFFFF"/>
                <w:sz w:val="20"/>
                <w:szCs w:val="20"/>
              </w:rPr>
              <w:t>Hydrology</w:t>
            </w:r>
          </w:p>
        </w:tc>
      </w:tr>
      <w:tr w:rsidR="00BA2D76" w:rsidRPr="00BA2D76" w14:paraId="3ECA0679" w14:textId="77777777" w:rsidTr="102F7023">
        <w:trPr>
          <w:trHeight w:val="25"/>
        </w:trPr>
        <w:tc>
          <w:tcPr>
            <w:tcW w:w="189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4AC3E"/>
            <w:tcMar>
              <w:top w:w="80" w:type="dxa"/>
              <w:left w:w="80" w:type="dxa"/>
              <w:bottom w:w="80" w:type="dxa"/>
              <w:right w:w="80" w:type="dxa"/>
            </w:tcMar>
          </w:tcPr>
          <w:p w14:paraId="3ECA0676" w14:textId="77777777" w:rsidR="00BA2D76" w:rsidRPr="00BA2D76" w:rsidRDefault="00BA2D76" w:rsidP="00BA2D76">
            <w:pPr>
              <w:pStyle w:val="BasicParagraph"/>
              <w:spacing w:line="240" w:lineRule="auto"/>
              <w:contextualSpacing/>
              <w:rPr>
                <w:rFonts w:asciiTheme="minorHAnsi" w:hAnsiTheme="minorHAnsi" w:cstheme="minorHAnsi"/>
                <w:sz w:val="20"/>
                <w:szCs w:val="20"/>
              </w:rPr>
            </w:pPr>
            <w:r w:rsidRPr="00BA2D76">
              <w:rPr>
                <w:rFonts w:asciiTheme="minorHAnsi" w:hAnsiTheme="minorHAnsi" w:cstheme="minorHAnsi"/>
                <w:sz w:val="20"/>
                <w:szCs w:val="20"/>
              </w:rPr>
              <w:t>Annual Precipitation</w:t>
            </w:r>
          </w:p>
        </w:tc>
        <w:tc>
          <w:tcPr>
            <w:tcW w:w="99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4AC3E"/>
            <w:tcMar>
              <w:top w:w="80" w:type="dxa"/>
              <w:left w:w="80" w:type="dxa"/>
              <w:bottom w:w="80" w:type="dxa"/>
              <w:right w:w="80" w:type="dxa"/>
            </w:tcMar>
          </w:tcPr>
          <w:p w14:paraId="3ECA0677" w14:textId="77777777" w:rsidR="00BA2D76" w:rsidRPr="00BA2D76" w:rsidRDefault="00BA2D76" w:rsidP="00BA2D76">
            <w:pPr>
              <w:pStyle w:val="BasicParagraph"/>
              <w:spacing w:line="240" w:lineRule="auto"/>
              <w:contextualSpacing/>
              <w:rPr>
                <w:rFonts w:asciiTheme="minorHAnsi" w:hAnsiTheme="minorHAnsi" w:cstheme="minorHAnsi"/>
                <w:sz w:val="20"/>
                <w:szCs w:val="20"/>
              </w:rPr>
            </w:pPr>
            <w:r w:rsidRPr="00BA2D76">
              <w:rPr>
                <w:rFonts w:asciiTheme="minorHAnsi" w:hAnsiTheme="minorHAnsi" w:cstheme="minorHAnsi"/>
                <w:sz w:val="20"/>
                <w:szCs w:val="20"/>
              </w:rPr>
              <w:t>Increase</w:t>
            </w:r>
          </w:p>
        </w:tc>
        <w:tc>
          <w:tcPr>
            <w:tcW w:w="738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4AC3E"/>
            <w:tcMar>
              <w:top w:w="80" w:type="dxa"/>
              <w:left w:w="80" w:type="dxa"/>
              <w:bottom w:w="80" w:type="dxa"/>
              <w:right w:w="80" w:type="dxa"/>
            </w:tcMar>
          </w:tcPr>
          <w:p w14:paraId="3ECA0678" w14:textId="77777777" w:rsidR="00BA2D76" w:rsidRPr="00BA2D76" w:rsidRDefault="00BA2D76" w:rsidP="00BA2D76">
            <w:pPr>
              <w:pStyle w:val="BasicParagraph"/>
              <w:spacing w:line="240" w:lineRule="auto"/>
              <w:contextualSpacing/>
              <w:rPr>
                <w:rFonts w:asciiTheme="minorHAnsi" w:hAnsiTheme="minorHAnsi" w:cstheme="minorHAnsi"/>
                <w:sz w:val="20"/>
                <w:szCs w:val="20"/>
              </w:rPr>
            </w:pPr>
            <w:r w:rsidRPr="00BA2D76">
              <w:rPr>
                <w:rFonts w:asciiTheme="minorHAnsi" w:hAnsiTheme="minorHAnsi" w:cstheme="minorHAnsi"/>
                <w:sz w:val="20"/>
                <w:szCs w:val="20"/>
              </w:rPr>
              <w:t>By the end of the century, projected total increase of 10% (about 4” per year)</w:t>
            </w:r>
          </w:p>
        </w:tc>
      </w:tr>
      <w:tr w:rsidR="00BA2D76" w:rsidRPr="00BA2D76" w14:paraId="3ECA067D" w14:textId="77777777" w:rsidTr="102F7023">
        <w:trPr>
          <w:trHeight w:val="25"/>
        </w:trPr>
        <w:tc>
          <w:tcPr>
            <w:tcW w:w="189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4AC3E"/>
            <w:tcMar>
              <w:top w:w="80" w:type="dxa"/>
              <w:left w:w="80" w:type="dxa"/>
              <w:bottom w:w="80" w:type="dxa"/>
              <w:right w:w="80" w:type="dxa"/>
            </w:tcMar>
          </w:tcPr>
          <w:p w14:paraId="3ECA067A" w14:textId="77777777" w:rsidR="00BA2D76" w:rsidRPr="00BA2D76" w:rsidRDefault="00BA2D76" w:rsidP="00BA2D76">
            <w:pPr>
              <w:pStyle w:val="BasicParagraph"/>
              <w:spacing w:line="240" w:lineRule="auto"/>
              <w:contextualSpacing/>
              <w:rPr>
                <w:rFonts w:asciiTheme="minorHAnsi" w:hAnsiTheme="minorHAnsi" w:cstheme="minorHAnsi"/>
                <w:sz w:val="20"/>
                <w:szCs w:val="20"/>
              </w:rPr>
            </w:pPr>
            <w:r w:rsidRPr="00BA2D76">
              <w:rPr>
                <w:rFonts w:asciiTheme="minorHAnsi" w:hAnsiTheme="minorHAnsi" w:cstheme="minorHAnsi"/>
                <w:sz w:val="20"/>
                <w:szCs w:val="20"/>
              </w:rPr>
              <w:t>Season Precipitation</w:t>
            </w:r>
          </w:p>
        </w:tc>
        <w:tc>
          <w:tcPr>
            <w:tcW w:w="99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4AC3E"/>
            <w:tcMar>
              <w:top w:w="80" w:type="dxa"/>
              <w:left w:w="80" w:type="dxa"/>
              <w:bottom w:w="80" w:type="dxa"/>
              <w:right w:w="80" w:type="dxa"/>
            </w:tcMar>
          </w:tcPr>
          <w:p w14:paraId="3ECA067B" w14:textId="77777777" w:rsidR="00BA2D76" w:rsidRPr="00BA2D76" w:rsidRDefault="00BA2D76" w:rsidP="00BA2D76">
            <w:pPr>
              <w:pStyle w:val="BasicParagraph"/>
              <w:spacing w:line="240" w:lineRule="auto"/>
              <w:contextualSpacing/>
              <w:rPr>
                <w:rFonts w:asciiTheme="minorHAnsi" w:hAnsiTheme="minorHAnsi" w:cstheme="minorHAnsi"/>
                <w:sz w:val="20"/>
                <w:szCs w:val="20"/>
              </w:rPr>
            </w:pPr>
            <w:r w:rsidRPr="00BA2D76">
              <w:rPr>
                <w:rFonts w:asciiTheme="minorHAnsi" w:hAnsiTheme="minorHAnsi" w:cstheme="minorHAnsi"/>
                <w:sz w:val="20"/>
                <w:szCs w:val="20"/>
              </w:rPr>
              <w:t>Variable</w:t>
            </w:r>
          </w:p>
        </w:tc>
        <w:tc>
          <w:tcPr>
            <w:tcW w:w="738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4AC3E"/>
            <w:tcMar>
              <w:top w:w="80" w:type="dxa"/>
              <w:left w:w="80" w:type="dxa"/>
              <w:bottom w:w="80" w:type="dxa"/>
              <w:right w:w="80" w:type="dxa"/>
            </w:tcMar>
          </w:tcPr>
          <w:p w14:paraId="3ECA067C" w14:textId="77777777" w:rsidR="00BA2D76" w:rsidRPr="00BA2D76" w:rsidRDefault="00BA2D76" w:rsidP="00BA2D76">
            <w:pPr>
              <w:pStyle w:val="BasicParagraph"/>
              <w:spacing w:line="240" w:lineRule="auto"/>
              <w:contextualSpacing/>
              <w:rPr>
                <w:rFonts w:asciiTheme="minorHAnsi" w:hAnsiTheme="minorHAnsi" w:cstheme="minorHAnsi"/>
                <w:sz w:val="20"/>
                <w:szCs w:val="20"/>
              </w:rPr>
            </w:pPr>
            <w:r w:rsidRPr="00BA2D76">
              <w:rPr>
                <w:rFonts w:asciiTheme="minorHAnsi" w:hAnsiTheme="minorHAnsi" w:cstheme="minorHAnsi"/>
                <w:sz w:val="20"/>
                <w:szCs w:val="20"/>
              </w:rPr>
              <w:t>More winter rain, less snow; by 2050, winter precipitation could increase by 11-16% on average; little change expected in summer, but projections are highly variable</w:t>
            </w:r>
          </w:p>
        </w:tc>
      </w:tr>
      <w:tr w:rsidR="00BA2D76" w:rsidRPr="00BA2D76" w14:paraId="3ECA0681" w14:textId="77777777" w:rsidTr="102F7023">
        <w:trPr>
          <w:trHeight w:val="25"/>
        </w:trPr>
        <w:tc>
          <w:tcPr>
            <w:tcW w:w="189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4AC3E"/>
            <w:tcMar>
              <w:top w:w="80" w:type="dxa"/>
              <w:left w:w="80" w:type="dxa"/>
              <w:bottom w:w="80" w:type="dxa"/>
              <w:right w:w="80" w:type="dxa"/>
            </w:tcMar>
          </w:tcPr>
          <w:p w14:paraId="3ECA067E" w14:textId="77777777" w:rsidR="00BA2D76" w:rsidRPr="00BA2D76" w:rsidRDefault="00BA2D76" w:rsidP="00BA2D76">
            <w:pPr>
              <w:pStyle w:val="BasicParagraph"/>
              <w:spacing w:line="240" w:lineRule="auto"/>
              <w:contextualSpacing/>
              <w:rPr>
                <w:rFonts w:asciiTheme="minorHAnsi" w:hAnsiTheme="minorHAnsi" w:cstheme="minorHAnsi"/>
                <w:sz w:val="20"/>
                <w:szCs w:val="20"/>
              </w:rPr>
            </w:pPr>
            <w:r w:rsidRPr="00BA2D76">
              <w:rPr>
                <w:rFonts w:asciiTheme="minorHAnsi" w:hAnsiTheme="minorHAnsi" w:cstheme="minorHAnsi"/>
                <w:sz w:val="20"/>
                <w:szCs w:val="20"/>
              </w:rPr>
              <w:t>Heavy Rainfall Events</w:t>
            </w:r>
          </w:p>
        </w:tc>
        <w:tc>
          <w:tcPr>
            <w:tcW w:w="99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4AC3E"/>
            <w:tcMar>
              <w:top w:w="80" w:type="dxa"/>
              <w:left w:w="80" w:type="dxa"/>
              <w:bottom w:w="80" w:type="dxa"/>
              <w:right w:w="80" w:type="dxa"/>
            </w:tcMar>
          </w:tcPr>
          <w:p w14:paraId="3ECA067F" w14:textId="77777777" w:rsidR="00BA2D76" w:rsidRPr="00BA2D76" w:rsidRDefault="00BA2D76" w:rsidP="00BA2D76">
            <w:pPr>
              <w:pStyle w:val="BasicParagraph"/>
              <w:spacing w:line="240" w:lineRule="auto"/>
              <w:contextualSpacing/>
              <w:rPr>
                <w:rFonts w:asciiTheme="minorHAnsi" w:hAnsiTheme="minorHAnsi" w:cstheme="minorHAnsi"/>
                <w:sz w:val="20"/>
                <w:szCs w:val="20"/>
              </w:rPr>
            </w:pPr>
            <w:r w:rsidRPr="00BA2D76">
              <w:rPr>
                <w:rFonts w:asciiTheme="minorHAnsi" w:hAnsiTheme="minorHAnsi" w:cstheme="minorHAnsi"/>
                <w:sz w:val="20"/>
                <w:szCs w:val="20"/>
              </w:rPr>
              <w:t>Increase</w:t>
            </w:r>
          </w:p>
        </w:tc>
        <w:tc>
          <w:tcPr>
            <w:tcW w:w="738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4AC3E"/>
            <w:tcMar>
              <w:top w:w="80" w:type="dxa"/>
              <w:left w:w="80" w:type="dxa"/>
              <w:bottom w:w="80" w:type="dxa"/>
              <w:right w:w="80" w:type="dxa"/>
            </w:tcMar>
          </w:tcPr>
          <w:p w14:paraId="3ECA0680" w14:textId="77777777" w:rsidR="00BA2D76" w:rsidRPr="00BA2D76" w:rsidRDefault="00BA2D76" w:rsidP="00BA2D76">
            <w:pPr>
              <w:pStyle w:val="BasicParagraph"/>
              <w:spacing w:line="240" w:lineRule="auto"/>
              <w:contextualSpacing/>
              <w:rPr>
                <w:rFonts w:asciiTheme="minorHAnsi" w:hAnsiTheme="minorHAnsi" w:cstheme="minorHAnsi"/>
                <w:sz w:val="20"/>
                <w:szCs w:val="20"/>
              </w:rPr>
            </w:pPr>
            <w:r w:rsidRPr="00BA2D76">
              <w:rPr>
                <w:rFonts w:asciiTheme="minorHAnsi" w:hAnsiTheme="minorHAnsi" w:cstheme="minorHAnsi"/>
                <w:sz w:val="20"/>
                <w:szCs w:val="20"/>
              </w:rPr>
              <w:t>More frequent and intense</w:t>
            </w:r>
          </w:p>
        </w:tc>
      </w:tr>
      <w:tr w:rsidR="00BA2D76" w:rsidRPr="00BA2D76" w14:paraId="3ECA0685" w14:textId="77777777" w:rsidTr="102F7023">
        <w:trPr>
          <w:trHeight w:val="310"/>
        </w:trPr>
        <w:tc>
          <w:tcPr>
            <w:tcW w:w="189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4AC3E"/>
            <w:tcMar>
              <w:top w:w="80" w:type="dxa"/>
              <w:left w:w="80" w:type="dxa"/>
              <w:bottom w:w="80" w:type="dxa"/>
              <w:right w:w="80" w:type="dxa"/>
            </w:tcMar>
          </w:tcPr>
          <w:p w14:paraId="3ECA0682" w14:textId="77777777" w:rsidR="00BA2D76" w:rsidRPr="00BA2D76" w:rsidRDefault="00BA2D76" w:rsidP="00BA2D76">
            <w:pPr>
              <w:pStyle w:val="BasicParagraph"/>
              <w:spacing w:line="240" w:lineRule="auto"/>
              <w:contextualSpacing/>
              <w:rPr>
                <w:rFonts w:asciiTheme="minorHAnsi" w:hAnsiTheme="minorHAnsi" w:cstheme="minorHAnsi"/>
                <w:sz w:val="20"/>
                <w:szCs w:val="20"/>
              </w:rPr>
            </w:pPr>
            <w:r w:rsidRPr="00BA2D76">
              <w:rPr>
                <w:rFonts w:asciiTheme="minorHAnsi" w:hAnsiTheme="minorHAnsi" w:cstheme="minorHAnsi"/>
                <w:sz w:val="20"/>
                <w:szCs w:val="20"/>
              </w:rPr>
              <w:t>Soil Moisture</w:t>
            </w:r>
          </w:p>
        </w:tc>
        <w:tc>
          <w:tcPr>
            <w:tcW w:w="99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4AC3E"/>
            <w:tcMar>
              <w:top w:w="80" w:type="dxa"/>
              <w:left w:w="80" w:type="dxa"/>
              <w:bottom w:w="80" w:type="dxa"/>
              <w:right w:w="80" w:type="dxa"/>
            </w:tcMar>
          </w:tcPr>
          <w:p w14:paraId="3ECA0683" w14:textId="77777777" w:rsidR="00BA2D76" w:rsidRPr="00BA2D76" w:rsidRDefault="00BA2D76" w:rsidP="00BA2D76">
            <w:pPr>
              <w:pStyle w:val="BasicParagraph"/>
              <w:spacing w:line="240" w:lineRule="auto"/>
              <w:contextualSpacing/>
              <w:rPr>
                <w:rFonts w:asciiTheme="minorHAnsi" w:hAnsiTheme="minorHAnsi" w:cstheme="minorHAnsi"/>
                <w:sz w:val="20"/>
                <w:szCs w:val="20"/>
              </w:rPr>
            </w:pPr>
            <w:r w:rsidRPr="00BA2D76">
              <w:rPr>
                <w:rFonts w:asciiTheme="minorHAnsi" w:hAnsiTheme="minorHAnsi" w:cstheme="minorHAnsi"/>
                <w:sz w:val="20"/>
                <w:szCs w:val="20"/>
              </w:rPr>
              <w:t>Decrease</w:t>
            </w:r>
          </w:p>
        </w:tc>
        <w:tc>
          <w:tcPr>
            <w:tcW w:w="738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4AC3E"/>
            <w:tcMar>
              <w:top w:w="80" w:type="dxa"/>
              <w:left w:w="80" w:type="dxa"/>
              <w:bottom w:w="80" w:type="dxa"/>
              <w:right w:w="80" w:type="dxa"/>
            </w:tcMar>
          </w:tcPr>
          <w:p w14:paraId="3ECA0684" w14:textId="77777777" w:rsidR="00BA2D76" w:rsidRPr="00BA2D76" w:rsidRDefault="00BA2D76" w:rsidP="00BA2D76">
            <w:pPr>
              <w:pStyle w:val="BasicParagraph"/>
              <w:spacing w:line="240" w:lineRule="auto"/>
              <w:contextualSpacing/>
              <w:rPr>
                <w:rFonts w:asciiTheme="minorHAnsi" w:hAnsiTheme="minorHAnsi" w:cstheme="minorHAnsi"/>
                <w:sz w:val="20"/>
                <w:szCs w:val="20"/>
              </w:rPr>
            </w:pPr>
            <w:r w:rsidRPr="00BA2D76">
              <w:rPr>
                <w:rFonts w:asciiTheme="minorHAnsi" w:hAnsiTheme="minorHAnsi" w:cstheme="minorHAnsi"/>
                <w:sz w:val="20"/>
                <w:szCs w:val="20"/>
              </w:rPr>
              <w:t>Reduction in soil moisture and increase in evaporation rates in the summer</w:t>
            </w:r>
          </w:p>
        </w:tc>
      </w:tr>
      <w:tr w:rsidR="00BA2D76" w:rsidRPr="00BA2D76" w14:paraId="3ECA0689" w14:textId="77777777" w:rsidTr="102F7023">
        <w:trPr>
          <w:trHeight w:val="25"/>
        </w:trPr>
        <w:tc>
          <w:tcPr>
            <w:tcW w:w="189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4AC3E"/>
            <w:tcMar>
              <w:top w:w="80" w:type="dxa"/>
              <w:left w:w="80" w:type="dxa"/>
              <w:bottom w:w="80" w:type="dxa"/>
              <w:right w:w="80" w:type="dxa"/>
            </w:tcMar>
          </w:tcPr>
          <w:p w14:paraId="3ECA0686" w14:textId="77777777" w:rsidR="00BA2D76" w:rsidRPr="00BA2D76" w:rsidRDefault="00BA2D76" w:rsidP="00BA2D76">
            <w:pPr>
              <w:pStyle w:val="BasicParagraph"/>
              <w:spacing w:line="240" w:lineRule="auto"/>
              <w:contextualSpacing/>
              <w:rPr>
                <w:rFonts w:asciiTheme="minorHAnsi" w:hAnsiTheme="minorHAnsi" w:cstheme="minorHAnsi"/>
                <w:sz w:val="20"/>
                <w:szCs w:val="20"/>
              </w:rPr>
            </w:pPr>
            <w:r w:rsidRPr="00BA2D76">
              <w:rPr>
                <w:rFonts w:asciiTheme="minorHAnsi" w:hAnsiTheme="minorHAnsi" w:cstheme="minorHAnsi"/>
                <w:sz w:val="20"/>
                <w:szCs w:val="20"/>
              </w:rPr>
              <w:t>Snow</w:t>
            </w:r>
          </w:p>
        </w:tc>
        <w:tc>
          <w:tcPr>
            <w:tcW w:w="99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4AC3E"/>
            <w:tcMar>
              <w:top w:w="80" w:type="dxa"/>
              <w:left w:w="80" w:type="dxa"/>
              <w:bottom w:w="80" w:type="dxa"/>
              <w:right w:w="80" w:type="dxa"/>
            </w:tcMar>
          </w:tcPr>
          <w:p w14:paraId="3ECA0687" w14:textId="77777777" w:rsidR="00BA2D76" w:rsidRPr="00BA2D76" w:rsidRDefault="00BA2D76" w:rsidP="00BA2D76">
            <w:pPr>
              <w:pStyle w:val="BasicParagraph"/>
              <w:spacing w:line="240" w:lineRule="auto"/>
              <w:contextualSpacing/>
              <w:rPr>
                <w:rFonts w:asciiTheme="minorHAnsi" w:hAnsiTheme="minorHAnsi" w:cstheme="minorHAnsi"/>
                <w:sz w:val="20"/>
                <w:szCs w:val="20"/>
              </w:rPr>
            </w:pPr>
            <w:r w:rsidRPr="00BA2D76">
              <w:rPr>
                <w:rFonts w:asciiTheme="minorHAnsi" w:hAnsiTheme="minorHAnsi" w:cstheme="minorHAnsi"/>
                <w:sz w:val="20"/>
                <w:szCs w:val="20"/>
              </w:rPr>
              <w:t>Decrease</w:t>
            </w:r>
          </w:p>
        </w:tc>
        <w:tc>
          <w:tcPr>
            <w:tcW w:w="738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4AC3E"/>
            <w:tcMar>
              <w:top w:w="80" w:type="dxa"/>
              <w:left w:w="80" w:type="dxa"/>
              <w:bottom w:w="80" w:type="dxa"/>
              <w:right w:w="80" w:type="dxa"/>
            </w:tcMar>
          </w:tcPr>
          <w:p w14:paraId="3ECA0688" w14:textId="77777777" w:rsidR="00BA2D76" w:rsidRPr="00BA2D76" w:rsidRDefault="00BA2D76" w:rsidP="00BA2D76">
            <w:pPr>
              <w:pStyle w:val="BasicParagraph"/>
              <w:spacing w:line="240" w:lineRule="auto"/>
              <w:contextualSpacing/>
              <w:rPr>
                <w:rFonts w:asciiTheme="minorHAnsi" w:hAnsiTheme="minorHAnsi" w:cstheme="minorHAnsi"/>
                <w:sz w:val="20"/>
                <w:szCs w:val="20"/>
              </w:rPr>
            </w:pPr>
            <w:r w:rsidRPr="00BA2D76">
              <w:rPr>
                <w:rFonts w:asciiTheme="minorHAnsi" w:hAnsiTheme="minorHAnsi" w:cstheme="minorHAnsi"/>
                <w:sz w:val="20"/>
                <w:szCs w:val="20"/>
              </w:rPr>
              <w:t>Fewer days with snow cover (by the end of the century, could lose one-fourth to more than one-half of snow-covered days); increased snow density</w:t>
            </w:r>
          </w:p>
        </w:tc>
      </w:tr>
      <w:tr w:rsidR="00BA2D76" w:rsidRPr="00BA2D76" w14:paraId="3ECA068D" w14:textId="77777777" w:rsidTr="102F7023">
        <w:trPr>
          <w:trHeight w:val="25"/>
        </w:trPr>
        <w:tc>
          <w:tcPr>
            <w:tcW w:w="189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4AC3E"/>
            <w:tcMar>
              <w:top w:w="80" w:type="dxa"/>
              <w:left w:w="80" w:type="dxa"/>
              <w:bottom w:w="80" w:type="dxa"/>
              <w:right w:w="80" w:type="dxa"/>
            </w:tcMar>
          </w:tcPr>
          <w:p w14:paraId="3ECA068A" w14:textId="77777777" w:rsidR="00BA2D76" w:rsidRPr="00BA2D76" w:rsidRDefault="00BA2D76" w:rsidP="00BA2D76">
            <w:pPr>
              <w:pStyle w:val="BasicParagraph"/>
              <w:spacing w:line="240" w:lineRule="auto"/>
              <w:contextualSpacing/>
              <w:rPr>
                <w:rFonts w:asciiTheme="minorHAnsi" w:hAnsiTheme="minorHAnsi" w:cstheme="minorHAnsi"/>
                <w:sz w:val="20"/>
                <w:szCs w:val="20"/>
              </w:rPr>
            </w:pPr>
            <w:r w:rsidRPr="00BA2D76">
              <w:rPr>
                <w:rFonts w:asciiTheme="minorHAnsi" w:hAnsiTheme="minorHAnsi" w:cstheme="minorHAnsi"/>
                <w:sz w:val="20"/>
                <w:szCs w:val="20"/>
              </w:rPr>
              <w:t>Spring Flows</w:t>
            </w:r>
          </w:p>
        </w:tc>
        <w:tc>
          <w:tcPr>
            <w:tcW w:w="99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4AC3E"/>
            <w:tcMar>
              <w:top w:w="80" w:type="dxa"/>
              <w:left w:w="80" w:type="dxa"/>
              <w:bottom w:w="80" w:type="dxa"/>
              <w:right w:w="80" w:type="dxa"/>
            </w:tcMar>
          </w:tcPr>
          <w:p w14:paraId="3ECA068B" w14:textId="77777777" w:rsidR="00BA2D76" w:rsidRPr="00BA2D76" w:rsidRDefault="00BA2D76" w:rsidP="00BA2D76">
            <w:pPr>
              <w:pStyle w:val="BasicParagraph"/>
              <w:spacing w:line="240" w:lineRule="auto"/>
              <w:contextualSpacing/>
              <w:rPr>
                <w:rFonts w:asciiTheme="minorHAnsi" w:hAnsiTheme="minorHAnsi" w:cstheme="minorHAnsi"/>
                <w:sz w:val="20"/>
                <w:szCs w:val="20"/>
              </w:rPr>
            </w:pPr>
            <w:r w:rsidRPr="00BA2D76">
              <w:rPr>
                <w:rFonts w:asciiTheme="minorHAnsi" w:hAnsiTheme="minorHAnsi" w:cstheme="minorHAnsi"/>
                <w:sz w:val="20"/>
                <w:szCs w:val="20"/>
              </w:rPr>
              <w:t>Earlier, Reduced Volume</w:t>
            </w:r>
          </w:p>
        </w:tc>
        <w:tc>
          <w:tcPr>
            <w:tcW w:w="738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4AC3E"/>
            <w:tcMar>
              <w:top w:w="80" w:type="dxa"/>
              <w:left w:w="80" w:type="dxa"/>
              <w:bottom w:w="80" w:type="dxa"/>
              <w:right w:w="80" w:type="dxa"/>
            </w:tcMar>
          </w:tcPr>
          <w:p w14:paraId="3ECA068C" w14:textId="77777777" w:rsidR="00BA2D76" w:rsidRPr="00BA2D76" w:rsidRDefault="00BA2D76" w:rsidP="00BA2D76">
            <w:pPr>
              <w:pStyle w:val="BasicParagraph"/>
              <w:spacing w:line="240" w:lineRule="auto"/>
              <w:contextualSpacing/>
              <w:rPr>
                <w:rFonts w:asciiTheme="minorHAnsi" w:hAnsiTheme="minorHAnsi" w:cstheme="minorHAnsi"/>
                <w:sz w:val="20"/>
                <w:szCs w:val="20"/>
              </w:rPr>
            </w:pPr>
            <w:r w:rsidRPr="00BA2D76">
              <w:rPr>
                <w:rFonts w:asciiTheme="minorHAnsi" w:hAnsiTheme="minorHAnsi" w:cstheme="minorHAnsi"/>
                <w:sz w:val="20"/>
                <w:szCs w:val="20"/>
              </w:rPr>
              <w:t>Earlier snowmelt, earlier high spring flows with reduced volume; could occur ten days to &gt;2 weeks earlier</w:t>
            </w:r>
          </w:p>
        </w:tc>
      </w:tr>
      <w:tr w:rsidR="00BA2D76" w:rsidRPr="00BA2D76" w14:paraId="3ECA0691" w14:textId="77777777" w:rsidTr="102F7023">
        <w:trPr>
          <w:trHeight w:val="25"/>
        </w:trPr>
        <w:tc>
          <w:tcPr>
            <w:tcW w:w="189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4AC3E"/>
            <w:tcMar>
              <w:top w:w="80" w:type="dxa"/>
              <w:left w:w="80" w:type="dxa"/>
              <w:bottom w:w="80" w:type="dxa"/>
              <w:right w:w="80" w:type="dxa"/>
            </w:tcMar>
          </w:tcPr>
          <w:p w14:paraId="3ECA068E" w14:textId="77777777" w:rsidR="00BA2D76" w:rsidRPr="00BA2D76" w:rsidRDefault="00BA2D76" w:rsidP="00BA2D76">
            <w:pPr>
              <w:pStyle w:val="BasicParagraph"/>
              <w:spacing w:line="240" w:lineRule="auto"/>
              <w:contextualSpacing/>
              <w:rPr>
                <w:rFonts w:asciiTheme="minorHAnsi" w:hAnsiTheme="minorHAnsi" w:cstheme="minorHAnsi"/>
                <w:sz w:val="20"/>
                <w:szCs w:val="20"/>
              </w:rPr>
            </w:pPr>
            <w:r w:rsidRPr="00BA2D76">
              <w:rPr>
                <w:rFonts w:asciiTheme="minorHAnsi" w:hAnsiTheme="minorHAnsi" w:cstheme="minorHAnsi"/>
                <w:sz w:val="20"/>
                <w:szCs w:val="20"/>
              </w:rPr>
              <w:t>Summer Low Flows</w:t>
            </w:r>
          </w:p>
        </w:tc>
        <w:tc>
          <w:tcPr>
            <w:tcW w:w="99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4AC3E"/>
            <w:tcMar>
              <w:top w:w="80" w:type="dxa"/>
              <w:left w:w="80" w:type="dxa"/>
              <w:bottom w:w="80" w:type="dxa"/>
              <w:right w:w="80" w:type="dxa"/>
            </w:tcMar>
          </w:tcPr>
          <w:p w14:paraId="3ECA068F" w14:textId="77777777" w:rsidR="00BA2D76" w:rsidRPr="00BA2D76" w:rsidRDefault="00BA2D76" w:rsidP="00BA2D76">
            <w:pPr>
              <w:pStyle w:val="BasicParagraph"/>
              <w:spacing w:line="240" w:lineRule="auto"/>
              <w:contextualSpacing/>
              <w:rPr>
                <w:rFonts w:asciiTheme="minorHAnsi" w:hAnsiTheme="minorHAnsi" w:cstheme="minorHAnsi"/>
                <w:sz w:val="20"/>
                <w:szCs w:val="20"/>
              </w:rPr>
            </w:pPr>
            <w:r w:rsidRPr="00BA2D76">
              <w:rPr>
                <w:rFonts w:asciiTheme="minorHAnsi" w:hAnsiTheme="minorHAnsi" w:cstheme="minorHAnsi"/>
                <w:sz w:val="20"/>
                <w:szCs w:val="20"/>
              </w:rPr>
              <w:t>Increase</w:t>
            </w:r>
          </w:p>
        </w:tc>
        <w:tc>
          <w:tcPr>
            <w:tcW w:w="738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4AC3E"/>
            <w:tcMar>
              <w:top w:w="80" w:type="dxa"/>
              <w:left w:w="80" w:type="dxa"/>
              <w:bottom w:w="80" w:type="dxa"/>
              <w:right w:w="80" w:type="dxa"/>
            </w:tcMar>
          </w:tcPr>
          <w:p w14:paraId="3ECA0690" w14:textId="77777777" w:rsidR="00BA2D76" w:rsidRPr="00BA2D76" w:rsidRDefault="00BA2D76" w:rsidP="00BA2D76">
            <w:pPr>
              <w:pStyle w:val="BasicParagraph"/>
              <w:spacing w:line="240" w:lineRule="auto"/>
              <w:contextualSpacing/>
              <w:rPr>
                <w:rFonts w:asciiTheme="minorHAnsi" w:hAnsiTheme="minorHAnsi" w:cstheme="minorHAnsi"/>
                <w:sz w:val="20"/>
                <w:szCs w:val="20"/>
              </w:rPr>
            </w:pPr>
            <w:r w:rsidRPr="00BA2D76">
              <w:rPr>
                <w:rFonts w:asciiTheme="minorHAnsi" w:hAnsiTheme="minorHAnsi" w:cstheme="minorHAnsi"/>
                <w:sz w:val="20"/>
                <w:szCs w:val="20"/>
              </w:rPr>
              <w:t>Extended summer low-flow periods; could increase by nearly a month under high emissions scenario</w:t>
            </w:r>
          </w:p>
        </w:tc>
      </w:tr>
      <w:tr w:rsidR="00BA2D76" w:rsidRPr="00BA2D76" w14:paraId="3ECA0695" w14:textId="77777777" w:rsidTr="102F7023">
        <w:trPr>
          <w:trHeight w:val="25"/>
        </w:trPr>
        <w:tc>
          <w:tcPr>
            <w:tcW w:w="189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4AC3E"/>
            <w:tcMar>
              <w:top w:w="80" w:type="dxa"/>
              <w:left w:w="80" w:type="dxa"/>
              <w:bottom w:w="80" w:type="dxa"/>
              <w:right w:w="80" w:type="dxa"/>
            </w:tcMar>
          </w:tcPr>
          <w:p w14:paraId="3ECA0692" w14:textId="77777777" w:rsidR="00BA2D76" w:rsidRPr="00BA2D76" w:rsidRDefault="00BA2D76" w:rsidP="00BA2D76">
            <w:pPr>
              <w:pStyle w:val="BasicParagraph"/>
              <w:spacing w:line="240" w:lineRule="auto"/>
              <w:contextualSpacing/>
              <w:rPr>
                <w:rFonts w:asciiTheme="minorHAnsi" w:hAnsiTheme="minorHAnsi" w:cstheme="minorHAnsi"/>
                <w:sz w:val="20"/>
                <w:szCs w:val="20"/>
              </w:rPr>
            </w:pPr>
            <w:r w:rsidRPr="00BA2D76">
              <w:rPr>
                <w:rFonts w:asciiTheme="minorHAnsi" w:hAnsiTheme="minorHAnsi" w:cstheme="minorHAnsi"/>
                <w:sz w:val="20"/>
                <w:szCs w:val="20"/>
              </w:rPr>
              <w:t>Ice Dynamics</w:t>
            </w:r>
          </w:p>
        </w:tc>
        <w:tc>
          <w:tcPr>
            <w:tcW w:w="99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4AC3E"/>
            <w:tcMar>
              <w:top w:w="80" w:type="dxa"/>
              <w:left w:w="80" w:type="dxa"/>
              <w:bottom w:w="80" w:type="dxa"/>
              <w:right w:w="80" w:type="dxa"/>
            </w:tcMar>
          </w:tcPr>
          <w:p w14:paraId="3ECA0693" w14:textId="77777777" w:rsidR="00BA2D76" w:rsidRPr="00BA2D76" w:rsidRDefault="00BA2D76" w:rsidP="00BA2D76">
            <w:pPr>
              <w:pStyle w:val="BasicParagraph"/>
              <w:spacing w:line="240" w:lineRule="auto"/>
              <w:contextualSpacing/>
              <w:rPr>
                <w:rFonts w:asciiTheme="minorHAnsi" w:hAnsiTheme="minorHAnsi" w:cstheme="minorHAnsi"/>
                <w:sz w:val="20"/>
                <w:szCs w:val="20"/>
              </w:rPr>
            </w:pPr>
            <w:r w:rsidRPr="00BA2D76">
              <w:rPr>
                <w:rFonts w:asciiTheme="minorHAnsi" w:hAnsiTheme="minorHAnsi" w:cstheme="minorHAnsi"/>
                <w:sz w:val="20"/>
                <w:szCs w:val="20"/>
              </w:rPr>
              <w:t>Changing</w:t>
            </w:r>
          </w:p>
        </w:tc>
        <w:tc>
          <w:tcPr>
            <w:tcW w:w="738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4AC3E"/>
            <w:tcMar>
              <w:top w:w="80" w:type="dxa"/>
              <w:left w:w="80" w:type="dxa"/>
              <w:bottom w:w="80" w:type="dxa"/>
              <w:right w:w="80" w:type="dxa"/>
            </w:tcMar>
          </w:tcPr>
          <w:p w14:paraId="3ECA0694" w14:textId="77777777" w:rsidR="00BA2D76" w:rsidRPr="00BA2D76" w:rsidRDefault="00BA2D76" w:rsidP="00BA2D76">
            <w:pPr>
              <w:pStyle w:val="BasicParagraph"/>
              <w:spacing w:line="240" w:lineRule="auto"/>
              <w:contextualSpacing/>
              <w:rPr>
                <w:rFonts w:asciiTheme="minorHAnsi" w:hAnsiTheme="minorHAnsi" w:cstheme="minorHAnsi"/>
                <w:sz w:val="20"/>
                <w:szCs w:val="20"/>
              </w:rPr>
            </w:pPr>
            <w:r w:rsidRPr="00BA2D76">
              <w:rPr>
                <w:rFonts w:asciiTheme="minorHAnsi" w:hAnsiTheme="minorHAnsi" w:cstheme="minorHAnsi"/>
                <w:sz w:val="20"/>
                <w:szCs w:val="20"/>
              </w:rPr>
              <w:t>Less ice cover and reduced ice thickness</w:t>
            </w:r>
          </w:p>
        </w:tc>
      </w:tr>
      <w:tr w:rsidR="00BA2D76" w:rsidRPr="00BA2D76" w14:paraId="3ECA0697" w14:textId="77777777" w:rsidTr="102F7023">
        <w:trPr>
          <w:trHeight w:val="25"/>
        </w:trPr>
        <w:tc>
          <w:tcPr>
            <w:tcW w:w="10260" w:type="dxa"/>
            <w:gridSpan w:val="3"/>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1713F"/>
            <w:tcMar>
              <w:top w:w="80" w:type="dxa"/>
              <w:left w:w="80" w:type="dxa"/>
              <w:bottom w:w="80" w:type="dxa"/>
              <w:right w:w="80" w:type="dxa"/>
            </w:tcMar>
          </w:tcPr>
          <w:p w14:paraId="3ECA0696" w14:textId="77777777" w:rsidR="00BA2D76" w:rsidRPr="00BA2D76" w:rsidRDefault="00BA2D76" w:rsidP="00BA2D76">
            <w:pPr>
              <w:pStyle w:val="BasicParagraph"/>
              <w:spacing w:line="240" w:lineRule="auto"/>
              <w:contextualSpacing/>
              <w:rPr>
                <w:rFonts w:asciiTheme="minorHAnsi" w:hAnsiTheme="minorHAnsi" w:cstheme="minorHAnsi"/>
                <w:sz w:val="20"/>
                <w:szCs w:val="20"/>
              </w:rPr>
            </w:pPr>
            <w:r w:rsidRPr="00BA2D76">
              <w:rPr>
                <w:rFonts w:asciiTheme="minorHAnsi" w:hAnsiTheme="minorHAnsi" w:cstheme="minorHAnsi"/>
                <w:b/>
                <w:bCs/>
                <w:color w:val="FFFFFF"/>
                <w:sz w:val="20"/>
                <w:szCs w:val="20"/>
              </w:rPr>
              <w:t>Extreme Events</w:t>
            </w:r>
          </w:p>
        </w:tc>
      </w:tr>
      <w:tr w:rsidR="00BA2D76" w:rsidRPr="00BA2D76" w14:paraId="3ECA069B" w14:textId="77777777" w:rsidTr="102F7023">
        <w:trPr>
          <w:trHeight w:val="25"/>
        </w:trPr>
        <w:tc>
          <w:tcPr>
            <w:tcW w:w="189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4AC3E"/>
            <w:tcMar>
              <w:top w:w="80" w:type="dxa"/>
              <w:left w:w="80" w:type="dxa"/>
              <w:bottom w:w="80" w:type="dxa"/>
              <w:right w:w="80" w:type="dxa"/>
            </w:tcMar>
          </w:tcPr>
          <w:p w14:paraId="3ECA0698" w14:textId="77777777" w:rsidR="00BA2D76" w:rsidRPr="00BA2D76" w:rsidRDefault="00BA2D76" w:rsidP="00BA2D76">
            <w:pPr>
              <w:pStyle w:val="BasicParagraph"/>
              <w:spacing w:line="240" w:lineRule="auto"/>
              <w:contextualSpacing/>
              <w:rPr>
                <w:rFonts w:asciiTheme="minorHAnsi" w:hAnsiTheme="minorHAnsi" w:cstheme="minorHAnsi"/>
                <w:sz w:val="20"/>
                <w:szCs w:val="20"/>
              </w:rPr>
            </w:pPr>
            <w:r w:rsidRPr="00BA2D76">
              <w:rPr>
                <w:rFonts w:asciiTheme="minorHAnsi" w:hAnsiTheme="minorHAnsi" w:cstheme="minorHAnsi"/>
                <w:sz w:val="20"/>
                <w:szCs w:val="20"/>
              </w:rPr>
              <w:t>Flood Events</w:t>
            </w:r>
          </w:p>
        </w:tc>
        <w:tc>
          <w:tcPr>
            <w:tcW w:w="99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4AC3E"/>
            <w:tcMar>
              <w:top w:w="80" w:type="dxa"/>
              <w:left w:w="80" w:type="dxa"/>
              <w:bottom w:w="80" w:type="dxa"/>
              <w:right w:w="80" w:type="dxa"/>
            </w:tcMar>
          </w:tcPr>
          <w:p w14:paraId="3ECA0699" w14:textId="77777777" w:rsidR="00BA2D76" w:rsidRPr="00BA2D76" w:rsidRDefault="00BA2D76" w:rsidP="00BA2D76">
            <w:pPr>
              <w:pStyle w:val="BasicParagraph"/>
              <w:spacing w:line="240" w:lineRule="auto"/>
              <w:contextualSpacing/>
              <w:rPr>
                <w:rFonts w:asciiTheme="minorHAnsi" w:hAnsiTheme="minorHAnsi" w:cstheme="minorHAnsi"/>
                <w:sz w:val="20"/>
                <w:szCs w:val="20"/>
              </w:rPr>
            </w:pPr>
            <w:r w:rsidRPr="00BA2D76">
              <w:rPr>
                <w:rFonts w:asciiTheme="minorHAnsi" w:hAnsiTheme="minorHAnsi" w:cstheme="minorHAnsi"/>
                <w:sz w:val="20"/>
                <w:szCs w:val="20"/>
              </w:rPr>
              <w:t>Increase</w:t>
            </w:r>
          </w:p>
        </w:tc>
        <w:tc>
          <w:tcPr>
            <w:tcW w:w="738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4AC3E"/>
            <w:tcMar>
              <w:top w:w="80" w:type="dxa"/>
              <w:left w:w="80" w:type="dxa"/>
              <w:bottom w:w="80" w:type="dxa"/>
              <w:right w:w="80" w:type="dxa"/>
            </w:tcMar>
          </w:tcPr>
          <w:p w14:paraId="3ECA069A" w14:textId="77777777" w:rsidR="00BA2D76" w:rsidRPr="00BA2D76" w:rsidRDefault="00BA2D76" w:rsidP="00BA2D76">
            <w:pPr>
              <w:pStyle w:val="BasicParagraph"/>
              <w:spacing w:line="240" w:lineRule="auto"/>
              <w:contextualSpacing/>
              <w:rPr>
                <w:rFonts w:asciiTheme="minorHAnsi" w:hAnsiTheme="minorHAnsi" w:cstheme="minorHAnsi"/>
                <w:sz w:val="20"/>
                <w:szCs w:val="20"/>
              </w:rPr>
            </w:pPr>
            <w:r w:rsidRPr="00BA2D76">
              <w:rPr>
                <w:rFonts w:asciiTheme="minorHAnsi" w:hAnsiTheme="minorHAnsi" w:cstheme="minorHAnsi"/>
                <w:sz w:val="20"/>
                <w:szCs w:val="20"/>
              </w:rPr>
              <w:t>More likely, particularly in winter and particularly under the high emissions scenario</w:t>
            </w:r>
          </w:p>
        </w:tc>
      </w:tr>
      <w:tr w:rsidR="00BA2D76" w:rsidRPr="00BA2D76" w14:paraId="3ECA069F" w14:textId="77777777" w:rsidTr="102F7023">
        <w:trPr>
          <w:trHeight w:val="25"/>
        </w:trPr>
        <w:tc>
          <w:tcPr>
            <w:tcW w:w="189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4AC3E"/>
            <w:tcMar>
              <w:top w:w="80" w:type="dxa"/>
              <w:left w:w="80" w:type="dxa"/>
              <w:bottom w:w="80" w:type="dxa"/>
              <w:right w:w="80" w:type="dxa"/>
            </w:tcMar>
          </w:tcPr>
          <w:p w14:paraId="3ECA069C" w14:textId="77777777" w:rsidR="00BA2D76" w:rsidRPr="00BA2D76" w:rsidRDefault="00BA2D76" w:rsidP="00BA2D76">
            <w:pPr>
              <w:pStyle w:val="BasicParagraph"/>
              <w:spacing w:line="240" w:lineRule="auto"/>
              <w:contextualSpacing/>
              <w:rPr>
                <w:rFonts w:asciiTheme="minorHAnsi" w:hAnsiTheme="minorHAnsi" w:cstheme="minorHAnsi"/>
                <w:sz w:val="20"/>
                <w:szCs w:val="20"/>
              </w:rPr>
            </w:pPr>
            <w:r w:rsidRPr="00BA2D76">
              <w:rPr>
                <w:rFonts w:asciiTheme="minorHAnsi" w:hAnsiTheme="minorHAnsi" w:cstheme="minorHAnsi"/>
                <w:sz w:val="20"/>
                <w:szCs w:val="20"/>
              </w:rPr>
              <w:t>Number of Short-Term Droughts</w:t>
            </w:r>
          </w:p>
        </w:tc>
        <w:tc>
          <w:tcPr>
            <w:tcW w:w="99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4AC3E"/>
            <w:tcMar>
              <w:top w:w="80" w:type="dxa"/>
              <w:left w:w="80" w:type="dxa"/>
              <w:bottom w:w="80" w:type="dxa"/>
              <w:right w:w="80" w:type="dxa"/>
            </w:tcMar>
          </w:tcPr>
          <w:p w14:paraId="3ECA069D" w14:textId="77777777" w:rsidR="00BA2D76" w:rsidRPr="00BA2D76" w:rsidRDefault="00BA2D76" w:rsidP="00BA2D76">
            <w:pPr>
              <w:pStyle w:val="BasicParagraph"/>
              <w:spacing w:line="240" w:lineRule="auto"/>
              <w:contextualSpacing/>
              <w:rPr>
                <w:rFonts w:asciiTheme="minorHAnsi" w:hAnsiTheme="minorHAnsi" w:cstheme="minorHAnsi"/>
                <w:sz w:val="20"/>
                <w:szCs w:val="20"/>
              </w:rPr>
            </w:pPr>
            <w:r w:rsidRPr="00BA2D76">
              <w:rPr>
                <w:rFonts w:asciiTheme="minorHAnsi" w:hAnsiTheme="minorHAnsi" w:cstheme="minorHAnsi"/>
                <w:sz w:val="20"/>
                <w:szCs w:val="20"/>
              </w:rPr>
              <w:t>Increase</w:t>
            </w:r>
          </w:p>
        </w:tc>
        <w:tc>
          <w:tcPr>
            <w:tcW w:w="738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4AC3E"/>
            <w:tcMar>
              <w:top w:w="80" w:type="dxa"/>
              <w:left w:w="80" w:type="dxa"/>
              <w:bottom w:w="80" w:type="dxa"/>
              <w:right w:w="80" w:type="dxa"/>
            </w:tcMar>
          </w:tcPr>
          <w:p w14:paraId="3ECA069E" w14:textId="77777777" w:rsidR="00BA2D76" w:rsidRPr="00BA2D76" w:rsidRDefault="00BA2D76" w:rsidP="00BA2D76">
            <w:pPr>
              <w:pStyle w:val="BasicParagraph"/>
              <w:spacing w:line="240" w:lineRule="auto"/>
              <w:contextualSpacing/>
              <w:rPr>
                <w:rFonts w:asciiTheme="minorHAnsi" w:hAnsiTheme="minorHAnsi" w:cstheme="minorHAnsi"/>
                <w:sz w:val="20"/>
                <w:szCs w:val="20"/>
              </w:rPr>
            </w:pPr>
            <w:r w:rsidRPr="00BA2D76">
              <w:rPr>
                <w:rFonts w:asciiTheme="minorHAnsi" w:hAnsiTheme="minorHAnsi" w:cstheme="minorHAnsi"/>
                <w:sz w:val="20"/>
                <w:szCs w:val="20"/>
              </w:rPr>
              <w:t>By the end of the century, under high emissions scenario, short-term droughts could occur as much as once per year in some places</w:t>
            </w:r>
          </w:p>
        </w:tc>
      </w:tr>
      <w:tr w:rsidR="00BA2D76" w:rsidRPr="00BA2D76" w14:paraId="3ECA06A3" w14:textId="77777777" w:rsidTr="102F7023">
        <w:trPr>
          <w:trHeight w:val="25"/>
        </w:trPr>
        <w:tc>
          <w:tcPr>
            <w:tcW w:w="189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4AC3E"/>
            <w:tcMar>
              <w:top w:w="80" w:type="dxa"/>
              <w:left w:w="80" w:type="dxa"/>
              <w:bottom w:w="80" w:type="dxa"/>
              <w:right w:w="80" w:type="dxa"/>
            </w:tcMar>
          </w:tcPr>
          <w:p w14:paraId="3ECA06A0" w14:textId="77777777" w:rsidR="00BA2D76" w:rsidRPr="00BA2D76" w:rsidRDefault="00BA2D76" w:rsidP="00BA2D76">
            <w:pPr>
              <w:pStyle w:val="BasicParagraph"/>
              <w:spacing w:line="240" w:lineRule="auto"/>
              <w:contextualSpacing/>
              <w:rPr>
                <w:rFonts w:asciiTheme="minorHAnsi" w:hAnsiTheme="minorHAnsi" w:cstheme="minorHAnsi"/>
                <w:sz w:val="20"/>
                <w:szCs w:val="20"/>
              </w:rPr>
            </w:pPr>
            <w:r w:rsidRPr="00BA2D76">
              <w:rPr>
                <w:rFonts w:asciiTheme="minorHAnsi" w:hAnsiTheme="minorHAnsi" w:cstheme="minorHAnsi"/>
                <w:sz w:val="20"/>
                <w:szCs w:val="20"/>
              </w:rPr>
              <w:t>Storms</w:t>
            </w:r>
          </w:p>
        </w:tc>
        <w:tc>
          <w:tcPr>
            <w:tcW w:w="99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4AC3E"/>
            <w:tcMar>
              <w:top w:w="80" w:type="dxa"/>
              <w:left w:w="80" w:type="dxa"/>
              <w:bottom w:w="80" w:type="dxa"/>
              <w:right w:w="80" w:type="dxa"/>
            </w:tcMar>
          </w:tcPr>
          <w:p w14:paraId="3ECA06A1" w14:textId="77777777" w:rsidR="00BA2D76" w:rsidRPr="00BA2D76" w:rsidRDefault="00BA2D76" w:rsidP="00BA2D76">
            <w:pPr>
              <w:pStyle w:val="BasicParagraph"/>
              <w:spacing w:line="240" w:lineRule="auto"/>
              <w:contextualSpacing/>
              <w:rPr>
                <w:rFonts w:asciiTheme="minorHAnsi" w:hAnsiTheme="minorHAnsi" w:cstheme="minorHAnsi"/>
                <w:sz w:val="20"/>
                <w:szCs w:val="20"/>
              </w:rPr>
            </w:pPr>
            <w:r w:rsidRPr="00BA2D76">
              <w:rPr>
                <w:rFonts w:asciiTheme="minorHAnsi" w:hAnsiTheme="minorHAnsi" w:cstheme="minorHAnsi"/>
                <w:sz w:val="20"/>
                <w:szCs w:val="20"/>
              </w:rPr>
              <w:t>Increase</w:t>
            </w:r>
          </w:p>
        </w:tc>
        <w:tc>
          <w:tcPr>
            <w:tcW w:w="738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4AC3E"/>
            <w:tcMar>
              <w:top w:w="80" w:type="dxa"/>
              <w:left w:w="80" w:type="dxa"/>
              <w:bottom w:w="80" w:type="dxa"/>
              <w:right w:w="80" w:type="dxa"/>
            </w:tcMar>
          </w:tcPr>
          <w:p w14:paraId="3ECA06A2" w14:textId="77777777" w:rsidR="00BA2D76" w:rsidRPr="00BA2D76" w:rsidRDefault="00BA2D76" w:rsidP="00BA2D76">
            <w:pPr>
              <w:pStyle w:val="BasicParagraph"/>
              <w:spacing w:line="240" w:lineRule="auto"/>
              <w:contextualSpacing/>
              <w:rPr>
                <w:rFonts w:asciiTheme="minorHAnsi" w:hAnsiTheme="minorHAnsi" w:cstheme="minorHAnsi"/>
                <w:sz w:val="20"/>
                <w:szCs w:val="20"/>
              </w:rPr>
            </w:pPr>
            <w:r w:rsidRPr="00BA2D76">
              <w:rPr>
                <w:rFonts w:asciiTheme="minorHAnsi" w:hAnsiTheme="minorHAnsi" w:cstheme="minorHAnsi"/>
                <w:sz w:val="20"/>
                <w:szCs w:val="20"/>
              </w:rPr>
              <w:t>More frequent and intense (ice, wind, etc.)</w:t>
            </w:r>
          </w:p>
        </w:tc>
      </w:tr>
      <w:tr w:rsidR="00BA2D76" w:rsidRPr="00BA2D76" w14:paraId="3ECA06A7" w14:textId="77777777" w:rsidTr="102F7023">
        <w:trPr>
          <w:trHeight w:val="25"/>
        </w:trPr>
        <w:tc>
          <w:tcPr>
            <w:tcW w:w="189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4AC3E"/>
            <w:tcMar>
              <w:top w:w="80" w:type="dxa"/>
              <w:left w:w="80" w:type="dxa"/>
              <w:bottom w:w="80" w:type="dxa"/>
              <w:right w:w="80" w:type="dxa"/>
            </w:tcMar>
          </w:tcPr>
          <w:p w14:paraId="3ECA06A4" w14:textId="77777777" w:rsidR="00BA2D76" w:rsidRPr="00BA2D76" w:rsidRDefault="00BA2D76" w:rsidP="00BA2D76">
            <w:pPr>
              <w:pStyle w:val="BasicParagraph"/>
              <w:spacing w:line="240" w:lineRule="auto"/>
              <w:contextualSpacing/>
              <w:rPr>
                <w:rFonts w:asciiTheme="minorHAnsi" w:hAnsiTheme="minorHAnsi" w:cstheme="minorHAnsi"/>
                <w:sz w:val="20"/>
                <w:szCs w:val="20"/>
              </w:rPr>
            </w:pPr>
            <w:r w:rsidRPr="00BA2D76">
              <w:rPr>
                <w:rFonts w:asciiTheme="minorHAnsi" w:hAnsiTheme="minorHAnsi" w:cstheme="minorHAnsi"/>
                <w:sz w:val="20"/>
                <w:szCs w:val="20"/>
              </w:rPr>
              <w:t>Fire</w:t>
            </w:r>
          </w:p>
        </w:tc>
        <w:tc>
          <w:tcPr>
            <w:tcW w:w="99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4AC3E"/>
            <w:tcMar>
              <w:top w:w="80" w:type="dxa"/>
              <w:left w:w="80" w:type="dxa"/>
              <w:bottom w:w="80" w:type="dxa"/>
              <w:right w:w="80" w:type="dxa"/>
            </w:tcMar>
          </w:tcPr>
          <w:p w14:paraId="3ECA06A5" w14:textId="77777777" w:rsidR="00BA2D76" w:rsidRPr="00BA2D76" w:rsidRDefault="00BA2D76" w:rsidP="00BA2D76">
            <w:pPr>
              <w:pStyle w:val="BasicParagraph"/>
              <w:spacing w:line="240" w:lineRule="auto"/>
              <w:contextualSpacing/>
              <w:rPr>
                <w:rFonts w:asciiTheme="minorHAnsi" w:hAnsiTheme="minorHAnsi" w:cstheme="minorHAnsi"/>
                <w:sz w:val="20"/>
                <w:szCs w:val="20"/>
              </w:rPr>
            </w:pPr>
            <w:r w:rsidRPr="00BA2D76">
              <w:rPr>
                <w:rFonts w:asciiTheme="minorHAnsi" w:hAnsiTheme="minorHAnsi" w:cstheme="minorHAnsi"/>
                <w:sz w:val="20"/>
                <w:szCs w:val="20"/>
              </w:rPr>
              <w:t>Increase</w:t>
            </w:r>
          </w:p>
        </w:tc>
        <w:tc>
          <w:tcPr>
            <w:tcW w:w="738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4AC3E"/>
            <w:tcMar>
              <w:top w:w="80" w:type="dxa"/>
              <w:left w:w="80" w:type="dxa"/>
              <w:bottom w:w="80" w:type="dxa"/>
              <w:right w:w="80" w:type="dxa"/>
            </w:tcMar>
          </w:tcPr>
          <w:p w14:paraId="3ECA06A6" w14:textId="77777777" w:rsidR="00BA2D76" w:rsidRPr="00BA2D76" w:rsidRDefault="00BA2D76" w:rsidP="00BA2D76">
            <w:pPr>
              <w:pStyle w:val="BasicParagraph"/>
              <w:spacing w:line="240" w:lineRule="auto"/>
              <w:contextualSpacing/>
              <w:rPr>
                <w:rFonts w:asciiTheme="minorHAnsi" w:hAnsiTheme="minorHAnsi" w:cstheme="minorHAnsi"/>
                <w:sz w:val="20"/>
                <w:szCs w:val="20"/>
              </w:rPr>
            </w:pPr>
            <w:r w:rsidRPr="00BA2D76">
              <w:rPr>
                <w:rFonts w:asciiTheme="minorHAnsi" w:hAnsiTheme="minorHAnsi" w:cstheme="minorHAnsi"/>
                <w:sz w:val="20"/>
                <w:szCs w:val="20"/>
              </w:rPr>
              <w:t>More likely</w:t>
            </w:r>
          </w:p>
        </w:tc>
      </w:tr>
      <w:tr w:rsidR="00BA2D76" w:rsidRPr="00BA2D76" w14:paraId="3ECA06A9" w14:textId="77777777" w:rsidTr="102F7023">
        <w:trPr>
          <w:trHeight w:val="25"/>
        </w:trPr>
        <w:tc>
          <w:tcPr>
            <w:tcW w:w="10260" w:type="dxa"/>
            <w:gridSpan w:val="3"/>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1713F"/>
            <w:tcMar>
              <w:top w:w="80" w:type="dxa"/>
              <w:left w:w="80" w:type="dxa"/>
              <w:bottom w:w="80" w:type="dxa"/>
              <w:right w:w="80" w:type="dxa"/>
            </w:tcMar>
          </w:tcPr>
          <w:p w14:paraId="3ECA06A8" w14:textId="77777777" w:rsidR="00BA2D76" w:rsidRPr="00BA2D76" w:rsidRDefault="00BA2D76" w:rsidP="00BA2D76">
            <w:pPr>
              <w:pStyle w:val="BasicParagraph"/>
              <w:spacing w:line="240" w:lineRule="auto"/>
              <w:contextualSpacing/>
              <w:rPr>
                <w:rFonts w:asciiTheme="minorHAnsi" w:hAnsiTheme="minorHAnsi" w:cstheme="minorHAnsi"/>
                <w:sz w:val="20"/>
                <w:szCs w:val="20"/>
              </w:rPr>
            </w:pPr>
            <w:r w:rsidRPr="00BA2D76">
              <w:rPr>
                <w:rFonts w:asciiTheme="minorHAnsi" w:hAnsiTheme="minorHAnsi" w:cstheme="minorHAnsi"/>
                <w:b/>
                <w:bCs/>
                <w:color w:val="FFFFFF"/>
                <w:sz w:val="20"/>
                <w:szCs w:val="20"/>
              </w:rPr>
              <w:t>Phenology</w:t>
            </w:r>
          </w:p>
        </w:tc>
      </w:tr>
      <w:tr w:rsidR="00BA2D76" w:rsidRPr="00BA2D76" w14:paraId="3ECA06AD" w14:textId="77777777" w:rsidTr="102F7023">
        <w:trPr>
          <w:trHeight w:val="25"/>
        </w:trPr>
        <w:tc>
          <w:tcPr>
            <w:tcW w:w="189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4AC3E"/>
            <w:tcMar>
              <w:top w:w="80" w:type="dxa"/>
              <w:left w:w="80" w:type="dxa"/>
              <w:bottom w:w="80" w:type="dxa"/>
              <w:right w:w="80" w:type="dxa"/>
            </w:tcMar>
          </w:tcPr>
          <w:p w14:paraId="3ECA06AA" w14:textId="77777777" w:rsidR="00BA2D76" w:rsidRPr="00BA2D76" w:rsidRDefault="00BA2D76" w:rsidP="00BA2D76">
            <w:pPr>
              <w:pStyle w:val="BasicParagraph"/>
              <w:spacing w:line="240" w:lineRule="auto"/>
              <w:contextualSpacing/>
              <w:rPr>
                <w:rFonts w:asciiTheme="minorHAnsi" w:hAnsiTheme="minorHAnsi" w:cstheme="minorHAnsi"/>
                <w:sz w:val="20"/>
                <w:szCs w:val="20"/>
              </w:rPr>
            </w:pPr>
            <w:r w:rsidRPr="00BA2D76">
              <w:rPr>
                <w:rFonts w:asciiTheme="minorHAnsi" w:hAnsiTheme="minorHAnsi" w:cstheme="minorHAnsi"/>
                <w:sz w:val="20"/>
                <w:szCs w:val="20"/>
              </w:rPr>
              <w:t>Growing Season</w:t>
            </w:r>
          </w:p>
        </w:tc>
        <w:tc>
          <w:tcPr>
            <w:tcW w:w="99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4AC3E"/>
            <w:tcMar>
              <w:top w:w="80" w:type="dxa"/>
              <w:left w:w="80" w:type="dxa"/>
              <w:bottom w:w="80" w:type="dxa"/>
              <w:right w:w="80" w:type="dxa"/>
            </w:tcMar>
          </w:tcPr>
          <w:p w14:paraId="3ECA06AB" w14:textId="77777777" w:rsidR="00BA2D76" w:rsidRPr="00BA2D76" w:rsidRDefault="00BA2D76" w:rsidP="00BA2D76">
            <w:pPr>
              <w:pStyle w:val="BasicParagraph"/>
              <w:spacing w:line="240" w:lineRule="auto"/>
              <w:contextualSpacing/>
              <w:rPr>
                <w:rFonts w:asciiTheme="minorHAnsi" w:hAnsiTheme="minorHAnsi" w:cstheme="minorHAnsi"/>
                <w:sz w:val="20"/>
                <w:szCs w:val="20"/>
              </w:rPr>
            </w:pPr>
            <w:r w:rsidRPr="00BA2D76">
              <w:rPr>
                <w:rFonts w:asciiTheme="minorHAnsi" w:hAnsiTheme="minorHAnsi" w:cstheme="minorHAnsi"/>
                <w:sz w:val="20"/>
                <w:szCs w:val="20"/>
              </w:rPr>
              <w:t>Increase</w:t>
            </w:r>
          </w:p>
        </w:tc>
        <w:tc>
          <w:tcPr>
            <w:tcW w:w="738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4AC3E"/>
            <w:tcMar>
              <w:top w:w="80" w:type="dxa"/>
              <w:left w:w="80" w:type="dxa"/>
              <w:bottom w:w="80" w:type="dxa"/>
              <w:right w:w="80" w:type="dxa"/>
            </w:tcMar>
          </w:tcPr>
          <w:p w14:paraId="3ECA06AC" w14:textId="77777777" w:rsidR="00BA2D76" w:rsidRPr="00BA2D76" w:rsidRDefault="00BA2D76" w:rsidP="00BA2D76">
            <w:pPr>
              <w:pStyle w:val="BasicParagraph"/>
              <w:spacing w:line="240" w:lineRule="auto"/>
              <w:contextualSpacing/>
              <w:rPr>
                <w:rFonts w:asciiTheme="minorHAnsi" w:hAnsiTheme="minorHAnsi" w:cstheme="minorHAnsi"/>
                <w:sz w:val="20"/>
                <w:szCs w:val="20"/>
              </w:rPr>
            </w:pPr>
            <w:r w:rsidRPr="00BA2D76">
              <w:rPr>
                <w:rFonts w:asciiTheme="minorHAnsi" w:hAnsiTheme="minorHAnsi" w:cstheme="minorHAnsi"/>
                <w:sz w:val="20"/>
                <w:szCs w:val="20"/>
              </w:rPr>
              <w:t>By the end of the century, projected to be 4-6 weeks longer</w:t>
            </w:r>
          </w:p>
        </w:tc>
      </w:tr>
      <w:tr w:rsidR="00BA2D76" w:rsidRPr="00BA2D76" w14:paraId="3ECA06B1" w14:textId="77777777" w:rsidTr="102F7023">
        <w:trPr>
          <w:trHeight w:val="25"/>
        </w:trPr>
        <w:tc>
          <w:tcPr>
            <w:tcW w:w="189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4AC3E"/>
            <w:tcMar>
              <w:top w:w="80" w:type="dxa"/>
              <w:left w:w="80" w:type="dxa"/>
              <w:bottom w:w="80" w:type="dxa"/>
              <w:right w:w="80" w:type="dxa"/>
            </w:tcMar>
          </w:tcPr>
          <w:p w14:paraId="3ECA06AE" w14:textId="77777777" w:rsidR="00BA2D76" w:rsidRPr="00BA2D76" w:rsidRDefault="00BA2D76" w:rsidP="00BA2D76">
            <w:pPr>
              <w:pStyle w:val="BasicParagraph"/>
              <w:spacing w:line="240" w:lineRule="auto"/>
              <w:contextualSpacing/>
              <w:rPr>
                <w:rFonts w:asciiTheme="minorHAnsi" w:hAnsiTheme="minorHAnsi" w:cstheme="minorHAnsi"/>
                <w:sz w:val="20"/>
                <w:szCs w:val="20"/>
              </w:rPr>
            </w:pPr>
            <w:r w:rsidRPr="00BA2D76">
              <w:rPr>
                <w:rFonts w:asciiTheme="minorHAnsi" w:hAnsiTheme="minorHAnsi" w:cstheme="minorHAnsi"/>
                <w:sz w:val="20"/>
                <w:szCs w:val="20"/>
              </w:rPr>
              <w:t>Onset of Spring</w:t>
            </w:r>
          </w:p>
        </w:tc>
        <w:tc>
          <w:tcPr>
            <w:tcW w:w="99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4AC3E"/>
            <w:tcMar>
              <w:top w:w="80" w:type="dxa"/>
              <w:left w:w="80" w:type="dxa"/>
              <w:bottom w:w="80" w:type="dxa"/>
              <w:right w:w="80" w:type="dxa"/>
            </w:tcMar>
          </w:tcPr>
          <w:p w14:paraId="3ECA06AF" w14:textId="77777777" w:rsidR="00BA2D76" w:rsidRPr="00BA2D76" w:rsidRDefault="00BA2D76" w:rsidP="00BA2D76">
            <w:pPr>
              <w:pStyle w:val="BasicParagraph"/>
              <w:spacing w:line="240" w:lineRule="auto"/>
              <w:contextualSpacing/>
              <w:rPr>
                <w:rFonts w:asciiTheme="minorHAnsi" w:hAnsiTheme="minorHAnsi" w:cstheme="minorHAnsi"/>
                <w:sz w:val="20"/>
                <w:szCs w:val="20"/>
              </w:rPr>
            </w:pPr>
            <w:r w:rsidRPr="00BA2D76">
              <w:rPr>
                <w:rFonts w:asciiTheme="minorHAnsi" w:hAnsiTheme="minorHAnsi" w:cstheme="minorHAnsi"/>
                <w:sz w:val="20"/>
                <w:szCs w:val="20"/>
              </w:rPr>
              <w:t>Earlier</w:t>
            </w:r>
          </w:p>
        </w:tc>
        <w:tc>
          <w:tcPr>
            <w:tcW w:w="738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4AC3E"/>
            <w:tcMar>
              <w:top w:w="80" w:type="dxa"/>
              <w:left w:w="80" w:type="dxa"/>
              <w:bottom w:w="80" w:type="dxa"/>
              <w:right w:w="80" w:type="dxa"/>
            </w:tcMar>
          </w:tcPr>
          <w:p w14:paraId="3ECA06B0" w14:textId="77777777" w:rsidR="00BA2D76" w:rsidRPr="00BA2D76" w:rsidRDefault="00BA2D76" w:rsidP="00BA2D76">
            <w:pPr>
              <w:pStyle w:val="BasicParagraph"/>
              <w:spacing w:line="240" w:lineRule="auto"/>
              <w:contextualSpacing/>
              <w:rPr>
                <w:rFonts w:asciiTheme="minorHAnsi" w:hAnsiTheme="minorHAnsi" w:cstheme="minorHAnsi"/>
                <w:sz w:val="20"/>
                <w:szCs w:val="20"/>
              </w:rPr>
            </w:pPr>
            <w:r w:rsidRPr="00BA2D76">
              <w:rPr>
                <w:rFonts w:asciiTheme="minorHAnsi" w:hAnsiTheme="minorHAnsi" w:cstheme="minorHAnsi"/>
                <w:sz w:val="20"/>
                <w:szCs w:val="20"/>
              </w:rPr>
              <w:t>By the end of the century, could be 1 to almost 3 weeks earlier</w:t>
            </w:r>
          </w:p>
        </w:tc>
      </w:tr>
      <w:tr w:rsidR="00BA2D76" w:rsidRPr="00BA2D76" w14:paraId="3ECA06B5" w14:textId="77777777" w:rsidTr="102F7023">
        <w:trPr>
          <w:trHeight w:val="25"/>
        </w:trPr>
        <w:tc>
          <w:tcPr>
            <w:tcW w:w="189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4AC3E"/>
            <w:tcMar>
              <w:top w:w="80" w:type="dxa"/>
              <w:left w:w="80" w:type="dxa"/>
              <w:bottom w:w="80" w:type="dxa"/>
              <w:right w:w="80" w:type="dxa"/>
            </w:tcMar>
          </w:tcPr>
          <w:p w14:paraId="3ECA06B2" w14:textId="77777777" w:rsidR="00BA2D76" w:rsidRPr="00BA2D76" w:rsidRDefault="00BA2D76" w:rsidP="00BA2D76">
            <w:pPr>
              <w:pStyle w:val="BasicParagraph"/>
              <w:spacing w:line="240" w:lineRule="auto"/>
              <w:contextualSpacing/>
              <w:rPr>
                <w:rFonts w:asciiTheme="minorHAnsi" w:hAnsiTheme="minorHAnsi" w:cstheme="minorHAnsi"/>
                <w:sz w:val="20"/>
                <w:szCs w:val="20"/>
              </w:rPr>
            </w:pPr>
            <w:r w:rsidRPr="00BA2D76">
              <w:rPr>
                <w:rFonts w:asciiTheme="minorHAnsi" w:hAnsiTheme="minorHAnsi" w:cstheme="minorHAnsi"/>
                <w:sz w:val="20"/>
                <w:szCs w:val="20"/>
              </w:rPr>
              <w:t>Onset of Fall</w:t>
            </w:r>
          </w:p>
        </w:tc>
        <w:tc>
          <w:tcPr>
            <w:tcW w:w="99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4AC3E"/>
            <w:tcMar>
              <w:top w:w="80" w:type="dxa"/>
              <w:left w:w="80" w:type="dxa"/>
              <w:bottom w:w="80" w:type="dxa"/>
              <w:right w:w="80" w:type="dxa"/>
            </w:tcMar>
          </w:tcPr>
          <w:p w14:paraId="3ECA06B3" w14:textId="77777777" w:rsidR="00BA2D76" w:rsidRPr="00BA2D76" w:rsidRDefault="00BA2D76" w:rsidP="00BA2D76">
            <w:pPr>
              <w:pStyle w:val="BasicParagraph"/>
              <w:spacing w:line="240" w:lineRule="auto"/>
              <w:contextualSpacing/>
              <w:rPr>
                <w:rFonts w:asciiTheme="minorHAnsi" w:hAnsiTheme="minorHAnsi" w:cstheme="minorHAnsi"/>
                <w:sz w:val="20"/>
                <w:szCs w:val="20"/>
              </w:rPr>
            </w:pPr>
            <w:r w:rsidRPr="00BA2D76">
              <w:rPr>
                <w:rFonts w:asciiTheme="minorHAnsi" w:hAnsiTheme="minorHAnsi" w:cstheme="minorHAnsi"/>
                <w:sz w:val="20"/>
                <w:szCs w:val="20"/>
              </w:rPr>
              <w:t>Later</w:t>
            </w:r>
          </w:p>
        </w:tc>
        <w:tc>
          <w:tcPr>
            <w:tcW w:w="738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4AC3E"/>
            <w:tcMar>
              <w:top w:w="80" w:type="dxa"/>
              <w:left w:w="80" w:type="dxa"/>
              <w:bottom w:w="80" w:type="dxa"/>
              <w:right w:w="80" w:type="dxa"/>
            </w:tcMar>
          </w:tcPr>
          <w:p w14:paraId="3ECA06B4" w14:textId="77777777" w:rsidR="00BA2D76" w:rsidRPr="00BA2D76" w:rsidRDefault="00BA2D76" w:rsidP="00BA2D76">
            <w:pPr>
              <w:pStyle w:val="BasicParagraph"/>
              <w:spacing w:line="240" w:lineRule="auto"/>
              <w:contextualSpacing/>
              <w:rPr>
                <w:rFonts w:asciiTheme="minorHAnsi" w:hAnsiTheme="minorHAnsi" w:cstheme="minorHAnsi"/>
                <w:sz w:val="20"/>
                <w:szCs w:val="20"/>
              </w:rPr>
            </w:pPr>
            <w:r w:rsidRPr="00BA2D76">
              <w:rPr>
                <w:rFonts w:asciiTheme="minorHAnsi" w:hAnsiTheme="minorHAnsi" w:cstheme="minorHAnsi"/>
                <w:sz w:val="20"/>
                <w:szCs w:val="20"/>
              </w:rPr>
              <w:t>By the end of the century, could arrive 2-3 weeks later</w:t>
            </w:r>
          </w:p>
        </w:tc>
      </w:tr>
      <w:tr w:rsidR="00BA2D76" w:rsidRPr="00BA2D76" w14:paraId="3ECA06B7" w14:textId="77777777" w:rsidTr="102F7023">
        <w:trPr>
          <w:trHeight w:val="25"/>
        </w:trPr>
        <w:tc>
          <w:tcPr>
            <w:tcW w:w="10260" w:type="dxa"/>
            <w:gridSpan w:val="3"/>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Mar>
              <w:top w:w="80" w:type="dxa"/>
              <w:left w:w="80" w:type="dxa"/>
              <w:bottom w:w="80" w:type="dxa"/>
              <w:right w:w="80" w:type="dxa"/>
            </w:tcMar>
          </w:tcPr>
          <w:p w14:paraId="3ECA06B6" w14:textId="77777777" w:rsidR="00BA2D76" w:rsidRPr="00BA2D76" w:rsidRDefault="00BA2D76" w:rsidP="00BA2D76">
            <w:pPr>
              <w:pStyle w:val="BasicParagraph"/>
              <w:spacing w:line="240" w:lineRule="auto"/>
              <w:contextualSpacing/>
              <w:rPr>
                <w:rFonts w:asciiTheme="minorHAnsi" w:hAnsiTheme="minorHAnsi" w:cstheme="minorHAnsi"/>
                <w:sz w:val="20"/>
                <w:szCs w:val="20"/>
              </w:rPr>
            </w:pPr>
            <w:r w:rsidRPr="00BA2D76">
              <w:rPr>
                <w:rFonts w:asciiTheme="minorHAnsi" w:hAnsiTheme="minorHAnsi" w:cstheme="minorHAnsi"/>
                <w:i/>
                <w:iCs/>
                <w:sz w:val="20"/>
                <w:szCs w:val="20"/>
              </w:rPr>
              <w:t>Source: fpr.vermont.gov/sites/fpr/files/Forest_and_Forestry/Vermont_Forests/Library/2017_VT_ForestActionPlan.pdf</w:t>
            </w:r>
          </w:p>
        </w:tc>
      </w:tr>
    </w:tbl>
    <w:p w14:paraId="3ECA06B8" w14:textId="77777777" w:rsidR="00BA2D76" w:rsidRPr="00BA2D76" w:rsidRDefault="00BA2D76" w:rsidP="00BA2D76">
      <w:pPr>
        <w:pStyle w:val="BasicParagraph"/>
        <w:rPr>
          <w:sz w:val="22"/>
          <w:szCs w:val="22"/>
        </w:rPr>
      </w:pPr>
    </w:p>
    <w:p w14:paraId="79588569" w14:textId="4477D90B" w:rsidR="00BA2D76" w:rsidRPr="00BA2D76" w:rsidRDefault="1D1B6E5E" w:rsidP="627628F9">
      <w:pPr>
        <w:pStyle w:val="BasicParagraph"/>
        <w:rPr>
          <w:sz w:val="22"/>
          <w:szCs w:val="22"/>
        </w:rPr>
      </w:pPr>
      <w:r w:rsidRPr="627628F9">
        <w:rPr>
          <w:sz w:val="22"/>
          <w:szCs w:val="22"/>
        </w:rPr>
        <w:t>Since the beginning of the 20</w:t>
      </w:r>
      <w:r w:rsidRPr="627628F9">
        <w:rPr>
          <w:sz w:val="22"/>
          <w:szCs w:val="22"/>
          <w:vertAlign w:val="superscript"/>
        </w:rPr>
        <w:t>th</w:t>
      </w:r>
      <w:r w:rsidRPr="627628F9">
        <w:rPr>
          <w:sz w:val="22"/>
          <w:szCs w:val="22"/>
        </w:rPr>
        <w:t xml:space="preserve"> century, average temperatures in Vermont have increased about 3°F. With the last </w:t>
      </w:r>
      <w:proofErr w:type="gramStart"/>
      <w:r w:rsidRPr="627628F9">
        <w:rPr>
          <w:sz w:val="22"/>
          <w:szCs w:val="22"/>
        </w:rPr>
        <w:t>11 year</w:t>
      </w:r>
      <w:proofErr w:type="gramEnd"/>
      <w:r w:rsidRPr="627628F9">
        <w:rPr>
          <w:sz w:val="22"/>
          <w:szCs w:val="22"/>
        </w:rPr>
        <w:t xml:space="preserve"> period (2010</w:t>
      </w:r>
      <w:r w:rsidR="67FE9979" w:rsidRPr="627628F9">
        <w:rPr>
          <w:sz w:val="22"/>
          <w:szCs w:val="22"/>
        </w:rPr>
        <w:t>-2020) being the warmest period on record. The intensity of Vermont winters and extreme winter cold has also decre</w:t>
      </w:r>
      <w:r w:rsidR="663EE306" w:rsidRPr="627628F9">
        <w:rPr>
          <w:sz w:val="22"/>
          <w:szCs w:val="22"/>
        </w:rPr>
        <w:t>ased, with Vermont’s freeze free period lengthening by 3 weeks since 1960. On average</w:t>
      </w:r>
      <w:r w:rsidR="6363279A" w:rsidRPr="627628F9">
        <w:rPr>
          <w:sz w:val="22"/>
          <w:szCs w:val="22"/>
        </w:rPr>
        <w:t>,</w:t>
      </w:r>
      <w:r w:rsidR="663EE306" w:rsidRPr="627628F9">
        <w:rPr>
          <w:sz w:val="22"/>
          <w:szCs w:val="22"/>
        </w:rPr>
        <w:t xml:space="preserve"> lakes and ponds </w:t>
      </w:r>
      <w:r w:rsidR="72A19F52" w:rsidRPr="627628F9">
        <w:rPr>
          <w:sz w:val="22"/>
          <w:szCs w:val="22"/>
        </w:rPr>
        <w:t xml:space="preserve">are thawing </w:t>
      </w:r>
      <w:r w:rsidR="2B3713FE" w:rsidRPr="627628F9">
        <w:rPr>
          <w:sz w:val="22"/>
          <w:szCs w:val="22"/>
        </w:rPr>
        <w:t>one to three days earlier per decade. Annual average precipitation has increased a</w:t>
      </w:r>
      <w:r w:rsidR="4F061B4E" w:rsidRPr="627628F9">
        <w:rPr>
          <w:sz w:val="22"/>
          <w:szCs w:val="22"/>
        </w:rPr>
        <w:t xml:space="preserve">round 6” since the 1960s, with the largest increases occurring in the mountainous regions of the state. </w:t>
      </w:r>
      <w:r w:rsidR="70AF3963" w:rsidRPr="627628F9">
        <w:rPr>
          <w:sz w:val="22"/>
          <w:szCs w:val="22"/>
        </w:rPr>
        <w:t>Winter and spring precipitation is projected to increase throughout this century and warming will increase the proportion of that precipitation that will fall as rain.</w:t>
      </w:r>
    </w:p>
    <w:p w14:paraId="3ECA06BA" w14:textId="36AFBEB2" w:rsidR="00BA2D76" w:rsidRPr="00BA2D76" w:rsidRDefault="00BA2D76" w:rsidP="00BA2D76">
      <w:pPr>
        <w:pStyle w:val="BasicParagraph"/>
        <w:rPr>
          <w:sz w:val="22"/>
          <w:szCs w:val="22"/>
        </w:rPr>
      </w:pPr>
    </w:p>
    <w:p w14:paraId="3ECA06BB" w14:textId="0F6D85D5" w:rsidR="00BA2D76" w:rsidRPr="00BA2D76" w:rsidRDefault="7C971A69" w:rsidP="00BA2D76">
      <w:pPr>
        <w:pStyle w:val="BasicParagraph"/>
        <w:rPr>
          <w:sz w:val="22"/>
          <w:szCs w:val="22"/>
        </w:rPr>
      </w:pPr>
      <w:r w:rsidRPr="00BA2D76">
        <w:rPr>
          <w:sz w:val="22"/>
          <w:szCs w:val="22"/>
        </w:rPr>
        <w:t>According to the 201</w:t>
      </w:r>
      <w:r w:rsidR="49203981" w:rsidRPr="00BA2D76">
        <w:rPr>
          <w:sz w:val="22"/>
          <w:szCs w:val="22"/>
        </w:rPr>
        <w:t>8</w:t>
      </w:r>
      <w:r w:rsidRPr="00BA2D76">
        <w:rPr>
          <w:sz w:val="22"/>
          <w:szCs w:val="22"/>
        </w:rPr>
        <w:t xml:space="preserve"> National Climate Assessment, the average annual precipitation in the United States has increased by approximately </w:t>
      </w:r>
      <w:r w:rsidR="10088E2C" w:rsidRPr="00BA2D76">
        <w:rPr>
          <w:sz w:val="22"/>
          <w:szCs w:val="22"/>
        </w:rPr>
        <w:t>4</w:t>
      </w:r>
      <w:r w:rsidRPr="00BA2D76">
        <w:rPr>
          <w:sz w:val="22"/>
          <w:szCs w:val="22"/>
        </w:rPr>
        <w:t>%</w:t>
      </w:r>
      <w:r w:rsidR="078C1F4E" w:rsidRPr="00BA2D76">
        <w:rPr>
          <w:sz w:val="22"/>
          <w:szCs w:val="22"/>
        </w:rPr>
        <w:t xml:space="preserve"> since 1901</w:t>
      </w:r>
      <w:r w:rsidR="00BA2D76" w:rsidRPr="00BA2D76">
        <w:rPr>
          <w:rStyle w:val="Footnote"/>
          <w:sz w:val="22"/>
          <w:szCs w:val="22"/>
          <w:vertAlign w:val="superscript"/>
        </w:rPr>
        <w:footnoteReference w:id="17"/>
      </w:r>
      <w:r w:rsidRPr="00BA2D76">
        <w:rPr>
          <w:sz w:val="22"/>
          <w:szCs w:val="22"/>
        </w:rPr>
        <w:t xml:space="preserve">. Of </w:t>
      </w:r>
      <w:proofErr w:type="gramStart"/>
      <w:r w:rsidRPr="00BA2D76">
        <w:rPr>
          <w:sz w:val="22"/>
          <w:szCs w:val="22"/>
        </w:rPr>
        <w:t>particular note</w:t>
      </w:r>
      <w:proofErr w:type="gramEnd"/>
      <w:r w:rsidRPr="00BA2D76">
        <w:rPr>
          <w:sz w:val="22"/>
          <w:szCs w:val="22"/>
        </w:rPr>
        <w:t>, the Assessment also identifies the northern U.S. as being more likely to experience above average precipitation in the winter and spring, with even wetter conditions expected under a high greenhouse gas emissions scenario. In addition to higher annual precipitation in both the observed record and projected models, the northeastern United States is also projected to experience more frequent, heavier rainfall events. Since 1991, the incidence of these heavy precipitation events has been 3</w:t>
      </w:r>
      <w:r w:rsidR="41BE5FF0" w:rsidRPr="00BA2D76">
        <w:rPr>
          <w:sz w:val="22"/>
          <w:szCs w:val="22"/>
        </w:rPr>
        <w:t>8</w:t>
      </w:r>
      <w:r w:rsidRPr="00BA2D76">
        <w:rPr>
          <w:sz w:val="22"/>
          <w:szCs w:val="22"/>
        </w:rPr>
        <w:t>% above average</w:t>
      </w:r>
      <w:r w:rsidR="075F21CC" w:rsidRPr="00BA2D76">
        <w:rPr>
          <w:sz w:val="22"/>
          <w:szCs w:val="22"/>
        </w:rPr>
        <w:t xml:space="preserve"> for the northeast</w:t>
      </w:r>
      <w:r w:rsidR="00BA2D76" w:rsidRPr="00BA2D76">
        <w:rPr>
          <w:rStyle w:val="Footnote"/>
          <w:sz w:val="22"/>
          <w:szCs w:val="22"/>
          <w:vertAlign w:val="superscript"/>
        </w:rPr>
        <w:footnoteReference w:id="18"/>
      </w:r>
      <w:r w:rsidRPr="00BA2D76">
        <w:rPr>
          <w:sz w:val="22"/>
          <w:szCs w:val="22"/>
        </w:rPr>
        <w:t xml:space="preserve">. </w:t>
      </w:r>
    </w:p>
    <w:p w14:paraId="3ECA06BE" w14:textId="77777777" w:rsidR="00BA2D76" w:rsidRPr="00BA2D76" w:rsidRDefault="00BA2D76" w:rsidP="00BA2D76">
      <w:pPr>
        <w:pStyle w:val="BasicParagraph"/>
        <w:rPr>
          <w:sz w:val="22"/>
          <w:szCs w:val="22"/>
        </w:rPr>
      </w:pPr>
    </w:p>
    <w:p w14:paraId="3ECA06BF" w14:textId="77777777" w:rsidR="00BA2D76" w:rsidRPr="00BA2D76" w:rsidRDefault="00BA2D76" w:rsidP="00BA2D76">
      <w:pPr>
        <w:pStyle w:val="TOC"/>
      </w:pPr>
      <w:r>
        <w:t xml:space="preserve">HAZARD ASSESSMENT </w:t>
      </w:r>
    </w:p>
    <w:p w14:paraId="3ECA06C0" w14:textId="0FDFFDAC" w:rsidR="00BA2D76" w:rsidRPr="00BA2D76" w:rsidRDefault="00BA2D76" w:rsidP="00BA2D76">
      <w:pPr>
        <w:pStyle w:val="BasicParagraph"/>
        <w:rPr>
          <w:sz w:val="22"/>
        </w:rPr>
      </w:pPr>
      <w:r w:rsidRPr="00BA2D76">
        <w:rPr>
          <w:sz w:val="22"/>
        </w:rPr>
        <w:t xml:space="preserve">A risk assessment is used to measure the potential loss of life, personal injury, economic impact, and property damage resulting from natural hazards by analyzing the vulnerability of people, the built environment, the </w:t>
      </w:r>
      <w:proofErr w:type="gramStart"/>
      <w:r w:rsidRPr="00BA2D76">
        <w:rPr>
          <w:sz w:val="22"/>
        </w:rPr>
        <w:t>economy</w:t>
      </w:r>
      <w:proofErr w:type="gramEnd"/>
      <w:r w:rsidRPr="00BA2D76">
        <w:rPr>
          <w:sz w:val="22"/>
        </w:rPr>
        <w:t xml:space="preserve"> and the natural environment. VEM staff used several methods to identify risks in Vermont, including the evaluation of historical data, consideration of changing climate trends, and feedback from stakeholders. This examination involved an extensive review of natural disasters in Vermont, both declared and undeclared. </w:t>
      </w:r>
      <w:r w:rsidRPr="00BA2D76">
        <w:rPr>
          <w:sz w:val="22"/>
          <w:u w:color="FFF100"/>
        </w:rPr>
        <w:t xml:space="preserve">Man-made and technological hazards are covered extensively in the 2018 Vermont State Emergency Management Plan (SEMP), which follows a risk assessment methodology </w:t>
      </w:r>
      <w:proofErr w:type="gramStart"/>
      <w:r w:rsidRPr="00BA2D76">
        <w:rPr>
          <w:sz w:val="22"/>
          <w:u w:color="FFF100"/>
        </w:rPr>
        <w:t>similar to</w:t>
      </w:r>
      <w:proofErr w:type="gramEnd"/>
      <w:r w:rsidRPr="00BA2D76">
        <w:rPr>
          <w:sz w:val="22"/>
          <w:u w:color="FFF100"/>
        </w:rPr>
        <w:t xml:space="preserve"> that used in this Plan.</w:t>
      </w:r>
      <w:r w:rsidRPr="00BA2D76">
        <w:rPr>
          <w:sz w:val="22"/>
        </w:rPr>
        <w:t xml:space="preserve"> Accordingly, the following sections of the risk assessment identify the natural hazards that Vermonters can expect to face over the next fifty years and beyond, and the mitigation strategies section reviews the actions underway or planned to address these hazards and risks. </w:t>
      </w:r>
      <w:r w:rsidRPr="00BA2D76">
        <w:rPr>
          <w:sz w:val="22"/>
          <w:u w:color="FFF100"/>
        </w:rPr>
        <w:t>As noted in the 201</w:t>
      </w:r>
      <w:r w:rsidR="00226273">
        <w:rPr>
          <w:sz w:val="22"/>
          <w:u w:color="FFF100"/>
        </w:rPr>
        <w:t>8</w:t>
      </w:r>
      <w:r w:rsidRPr="00BA2D76">
        <w:rPr>
          <w:sz w:val="22"/>
          <w:u w:color="FFF100"/>
        </w:rPr>
        <w:t xml:space="preserve"> SHMP, and confirmed again in th</w:t>
      </w:r>
      <w:r w:rsidR="001809D2">
        <w:rPr>
          <w:sz w:val="22"/>
          <w:u w:color="FFF100"/>
        </w:rPr>
        <w:t>e</w:t>
      </w:r>
      <w:r w:rsidRPr="00BA2D76">
        <w:rPr>
          <w:sz w:val="22"/>
          <w:u w:color="FFF100"/>
        </w:rPr>
        <w:t xml:space="preserve"> 20</w:t>
      </w:r>
      <w:r w:rsidR="00226273">
        <w:rPr>
          <w:sz w:val="22"/>
          <w:u w:color="FFF100"/>
        </w:rPr>
        <w:t>23</w:t>
      </w:r>
      <w:r w:rsidRPr="00BA2D76">
        <w:rPr>
          <w:sz w:val="22"/>
          <w:u w:color="FFF100"/>
        </w:rPr>
        <w:t xml:space="preserve"> SHMP, the natural hazards not incorporated are coastal erosion, expansive soils, Karst topography, sinkholes, </w:t>
      </w:r>
      <w:proofErr w:type="gramStart"/>
      <w:r w:rsidRPr="00BA2D76">
        <w:rPr>
          <w:sz w:val="22"/>
          <w:u w:color="FFF100"/>
        </w:rPr>
        <w:t>tsunamis</w:t>
      </w:r>
      <w:proofErr w:type="gramEnd"/>
      <w:r w:rsidRPr="00BA2D76">
        <w:rPr>
          <w:sz w:val="22"/>
          <w:u w:color="FFF100"/>
        </w:rPr>
        <w:t xml:space="preserve"> and volcanoes. These hazards are considered non-significant, unlikely hazards in Vermont and therefore do not warrant extensive review and consideration in this Plan. </w:t>
      </w:r>
    </w:p>
    <w:p w14:paraId="3ECA06C1" w14:textId="77777777" w:rsidR="00BA2D76" w:rsidRPr="00BA2D76" w:rsidRDefault="00BA2D76" w:rsidP="00BA2D76">
      <w:pPr>
        <w:pStyle w:val="BasicParagraph"/>
        <w:rPr>
          <w:sz w:val="22"/>
        </w:rPr>
      </w:pPr>
    </w:p>
    <w:p w14:paraId="3ECA06C2" w14:textId="77777777" w:rsidR="00BA2D76" w:rsidRDefault="00BA2D76" w:rsidP="00BA2D76">
      <w:pPr>
        <w:pStyle w:val="TOC"/>
      </w:pPr>
      <w:r>
        <w:t xml:space="preserve">Hazard Events </w:t>
      </w:r>
    </w:p>
    <w:p w14:paraId="3ECA06C3" w14:textId="77777777" w:rsidR="00BA2D76" w:rsidRPr="00BA2D76" w:rsidRDefault="00BA2D76" w:rsidP="00BA2D76">
      <w:pPr>
        <w:pStyle w:val="BasicParagraph"/>
        <w:rPr>
          <w:sz w:val="22"/>
        </w:rPr>
      </w:pPr>
    </w:p>
    <w:p w14:paraId="689D12C4" w14:textId="2D7FC2B1" w:rsidR="007E34E3" w:rsidRDefault="008B495A" w:rsidP="008A2A23">
      <w:pPr>
        <w:pStyle w:val="BasicParagraph"/>
        <w:rPr>
          <w:sz w:val="22"/>
        </w:rPr>
      </w:pPr>
      <w:r>
        <w:rPr>
          <w:sz w:val="22"/>
        </w:rPr>
        <w:t xml:space="preserve">Since 2018 </w:t>
      </w:r>
      <w:r w:rsidR="007E34E3">
        <w:rPr>
          <w:sz w:val="22"/>
        </w:rPr>
        <w:t xml:space="preserve">Vermont has </w:t>
      </w:r>
      <w:r w:rsidR="007E34E3" w:rsidRPr="00BA2D76">
        <w:rPr>
          <w:sz w:val="22"/>
        </w:rPr>
        <w:t>assesse</w:t>
      </w:r>
      <w:r w:rsidR="007E34E3">
        <w:rPr>
          <w:sz w:val="22"/>
        </w:rPr>
        <w:t>d</w:t>
      </w:r>
      <w:r w:rsidR="007E34E3" w:rsidRPr="00BA2D76">
        <w:rPr>
          <w:sz w:val="22"/>
        </w:rPr>
        <w:t xml:space="preserve"> the impacts of</w:t>
      </w:r>
      <w:r w:rsidR="000F473F">
        <w:rPr>
          <w:sz w:val="22"/>
        </w:rPr>
        <w:t xml:space="preserve"> hazard</w:t>
      </w:r>
      <w:r w:rsidR="007E34E3" w:rsidRPr="00BA2D76">
        <w:rPr>
          <w:sz w:val="22"/>
        </w:rPr>
        <w:t xml:space="preserve"> events</w:t>
      </w:r>
      <w:r w:rsidR="001C5CC0">
        <w:rPr>
          <w:sz w:val="22"/>
        </w:rPr>
        <w:t xml:space="preserve"> rather than </w:t>
      </w:r>
      <w:r w:rsidR="00CC06E6">
        <w:rPr>
          <w:sz w:val="22"/>
        </w:rPr>
        <w:t>the events themselves</w:t>
      </w:r>
      <w:r w:rsidR="007E34E3" w:rsidRPr="00BA2D76">
        <w:rPr>
          <w:sz w:val="22"/>
        </w:rPr>
        <w:t xml:space="preserve">, as it is the impacts, not the events, that can be mitigated. </w:t>
      </w:r>
      <w:r w:rsidR="007E34E3">
        <w:rPr>
          <w:sz w:val="22"/>
        </w:rPr>
        <w:t>This approach was continued in 2023 Plan update.</w:t>
      </w:r>
      <w:r w:rsidR="00CC06E6">
        <w:rPr>
          <w:sz w:val="22"/>
        </w:rPr>
        <w:t xml:space="preserve"> For example, </w:t>
      </w:r>
      <w:r w:rsidR="00CC06E6" w:rsidRPr="00CC06E6">
        <w:rPr>
          <w:sz w:val="22"/>
        </w:rPr>
        <w:t xml:space="preserve">inundation flooding, fluvial erosion, and wind </w:t>
      </w:r>
      <w:r w:rsidR="00300496">
        <w:rPr>
          <w:sz w:val="22"/>
        </w:rPr>
        <w:t xml:space="preserve">can be associated with </w:t>
      </w:r>
      <w:r w:rsidR="00CC06E6" w:rsidRPr="00CC06E6">
        <w:rPr>
          <w:sz w:val="22"/>
        </w:rPr>
        <w:t>a hurricane event</w:t>
      </w:r>
      <w:r w:rsidR="003B632A">
        <w:rPr>
          <w:sz w:val="22"/>
        </w:rPr>
        <w:t xml:space="preserve">, but can also impact the State outside of a hurricane event. </w:t>
      </w:r>
    </w:p>
    <w:p w14:paraId="1C63E482" w14:textId="77777777" w:rsidR="003B632A" w:rsidRDefault="003B632A" w:rsidP="008A2A23">
      <w:pPr>
        <w:pStyle w:val="BasicParagraph"/>
        <w:rPr>
          <w:sz w:val="22"/>
        </w:rPr>
      </w:pPr>
    </w:p>
    <w:p w14:paraId="152D222C" w14:textId="0D2D7DB3" w:rsidR="003B632A" w:rsidRDefault="003B632A" w:rsidP="008A2A23">
      <w:pPr>
        <w:pStyle w:val="BasicParagraph"/>
        <w:rPr>
          <w:sz w:val="22"/>
        </w:rPr>
      </w:pPr>
      <w:r>
        <w:rPr>
          <w:sz w:val="22"/>
        </w:rPr>
        <w:t xml:space="preserve">A history of Vermont disaster declarations is included in </w:t>
      </w:r>
      <w:r w:rsidRPr="00453579">
        <w:rPr>
          <w:sz w:val="22"/>
          <w:highlight w:val="yellow"/>
        </w:rPr>
        <w:t xml:space="preserve">Appendix </w:t>
      </w:r>
      <w:r w:rsidR="00453579" w:rsidRPr="00453579">
        <w:rPr>
          <w:sz w:val="22"/>
          <w:highlight w:val="yellow"/>
        </w:rPr>
        <w:t>4</w:t>
      </w:r>
      <w:r>
        <w:rPr>
          <w:sz w:val="22"/>
        </w:rPr>
        <w:t xml:space="preserve">. </w:t>
      </w:r>
    </w:p>
    <w:p w14:paraId="7DFF4F0D" w14:textId="77777777" w:rsidR="00B31289" w:rsidRDefault="00B31289" w:rsidP="008A2A23">
      <w:pPr>
        <w:pStyle w:val="BasicParagraph"/>
        <w:rPr>
          <w:sz w:val="22"/>
        </w:rPr>
      </w:pPr>
    </w:p>
    <w:p w14:paraId="3ECA06FB" w14:textId="0AA2567B" w:rsidR="00BA2D76" w:rsidRDefault="207BE53D" w:rsidP="00BA2D76">
      <w:pPr>
        <w:pStyle w:val="TOC"/>
      </w:pPr>
      <w:r>
        <w:t xml:space="preserve">Hazard Impacts </w:t>
      </w:r>
    </w:p>
    <w:p w14:paraId="20F19B53" w14:textId="77777777" w:rsidR="00F9311A" w:rsidRDefault="00F9311A" w:rsidP="003E0455">
      <w:pPr>
        <w:suppressAutoHyphens/>
        <w:autoSpaceDE w:val="0"/>
        <w:autoSpaceDN w:val="0"/>
        <w:adjustRightInd w:val="0"/>
        <w:spacing w:after="0" w:line="288" w:lineRule="auto"/>
        <w:textAlignment w:val="center"/>
        <w:rPr>
          <w:rFonts w:ascii="Calibri" w:eastAsia="Calibri" w:hAnsi="Calibri" w:cs="Calibri"/>
          <w:color w:val="000000"/>
          <w:szCs w:val="24"/>
        </w:rPr>
      </w:pPr>
    </w:p>
    <w:p w14:paraId="6FE087E8" w14:textId="07147F73" w:rsidR="00F9311A" w:rsidRDefault="008E6B4F" w:rsidP="003E0455">
      <w:pPr>
        <w:suppressAutoHyphens/>
        <w:autoSpaceDE w:val="0"/>
        <w:autoSpaceDN w:val="0"/>
        <w:adjustRightInd w:val="0"/>
        <w:spacing w:after="0" w:line="288" w:lineRule="auto"/>
        <w:textAlignment w:val="center"/>
        <w:rPr>
          <w:rFonts w:ascii="Calibri" w:eastAsia="Calibri" w:hAnsi="Calibri" w:cs="Calibri"/>
          <w:color w:val="000000"/>
          <w:szCs w:val="24"/>
        </w:rPr>
      </w:pPr>
      <w:r>
        <w:rPr>
          <w:rFonts w:ascii="Calibri" w:eastAsia="Calibri" w:hAnsi="Calibri" w:cs="Calibri"/>
          <w:color w:val="000000"/>
          <w:szCs w:val="24"/>
        </w:rPr>
        <w:t>A task group composed of s</w:t>
      </w:r>
      <w:r w:rsidR="00F9311A">
        <w:rPr>
          <w:rFonts w:ascii="Calibri" w:eastAsia="Calibri" w:hAnsi="Calibri" w:cs="Calibri"/>
          <w:color w:val="000000"/>
          <w:szCs w:val="24"/>
        </w:rPr>
        <w:t xml:space="preserve">ubject matter experts </w:t>
      </w:r>
      <w:r w:rsidR="00EB7B53">
        <w:rPr>
          <w:rFonts w:ascii="Calibri" w:eastAsia="Calibri" w:hAnsi="Calibri" w:cs="Calibri"/>
          <w:color w:val="000000"/>
          <w:szCs w:val="24"/>
        </w:rPr>
        <w:t>from</w:t>
      </w:r>
      <w:r w:rsidR="00F9311A">
        <w:rPr>
          <w:rFonts w:ascii="Calibri" w:eastAsia="Calibri" w:hAnsi="Calibri" w:cs="Calibri"/>
          <w:color w:val="000000"/>
          <w:szCs w:val="24"/>
        </w:rPr>
        <w:t xml:space="preserve"> the</w:t>
      </w:r>
      <w:r w:rsidR="00F9311A" w:rsidRPr="00D25733">
        <w:rPr>
          <w:rFonts w:ascii="Calibri" w:eastAsia="Calibri" w:hAnsi="Calibri" w:cs="Calibri"/>
          <w:color w:val="000000"/>
          <w:szCs w:val="24"/>
        </w:rPr>
        <w:t xml:space="preserve"> Steering Committee</w:t>
      </w:r>
      <w:r>
        <w:rPr>
          <w:rFonts w:ascii="Calibri" w:eastAsia="Calibri" w:hAnsi="Calibri" w:cs="Calibri"/>
          <w:color w:val="000000"/>
          <w:szCs w:val="24"/>
        </w:rPr>
        <w:t xml:space="preserve">, </w:t>
      </w:r>
      <w:r w:rsidR="004E3252">
        <w:rPr>
          <w:rFonts w:ascii="Calibri" w:eastAsia="Calibri" w:hAnsi="Calibri" w:cs="Calibri"/>
          <w:color w:val="000000"/>
          <w:szCs w:val="24"/>
        </w:rPr>
        <w:t xml:space="preserve">VEM, and the National Weather Service </w:t>
      </w:r>
      <w:r w:rsidR="00F9311A" w:rsidRPr="00D25733">
        <w:rPr>
          <w:rFonts w:ascii="Calibri" w:eastAsia="Calibri" w:hAnsi="Calibri" w:cs="Calibri"/>
          <w:color w:val="000000"/>
          <w:szCs w:val="24"/>
        </w:rPr>
        <w:t>ranked natural hazard impacts</w:t>
      </w:r>
      <w:r w:rsidR="00C06F4D">
        <w:rPr>
          <w:rFonts w:ascii="Calibri" w:eastAsia="Calibri" w:hAnsi="Calibri" w:cs="Calibri"/>
          <w:color w:val="000000"/>
          <w:szCs w:val="24"/>
        </w:rPr>
        <w:t xml:space="preserve"> </w:t>
      </w:r>
      <w:r w:rsidR="00191F1F">
        <w:rPr>
          <w:rFonts w:ascii="Calibri" w:eastAsia="Calibri" w:hAnsi="Calibri" w:cs="Calibri"/>
          <w:color w:val="000000"/>
          <w:szCs w:val="24"/>
        </w:rPr>
        <w:t>as part of the hazard assessment process</w:t>
      </w:r>
      <w:r w:rsidR="00C06F4D">
        <w:rPr>
          <w:rFonts w:ascii="Calibri" w:eastAsia="Calibri" w:hAnsi="Calibri" w:cs="Calibri"/>
          <w:color w:val="000000"/>
          <w:szCs w:val="24"/>
        </w:rPr>
        <w:t>.</w:t>
      </w:r>
      <w:r w:rsidR="00F9311A" w:rsidRPr="00D25733">
        <w:rPr>
          <w:rFonts w:ascii="Calibri" w:eastAsia="Calibri" w:hAnsi="Calibri" w:cs="Calibri"/>
          <w:color w:val="000000"/>
          <w:szCs w:val="24"/>
        </w:rPr>
        <w:t xml:space="preserve"> </w:t>
      </w:r>
      <w:r w:rsidR="00F9311A" w:rsidRPr="00014E00">
        <w:rPr>
          <w:rFonts w:ascii="Calibri" w:eastAsia="Calibri" w:hAnsi="Calibri" w:cs="Calibri"/>
          <w:color w:val="000000"/>
          <w:szCs w:val="24"/>
          <w:highlight w:val="yellow"/>
        </w:rPr>
        <w:t xml:space="preserve">Table </w:t>
      </w:r>
      <w:r w:rsidR="00F9311A" w:rsidRPr="006D7C6B">
        <w:rPr>
          <w:rFonts w:ascii="Calibri" w:eastAsia="Calibri" w:hAnsi="Calibri" w:cs="Calibri"/>
          <w:color w:val="000000"/>
          <w:szCs w:val="24"/>
          <w:highlight w:val="yellow"/>
        </w:rPr>
        <w:t>16</w:t>
      </w:r>
      <w:r w:rsidR="00F9311A" w:rsidRPr="00884ED6">
        <w:rPr>
          <w:rFonts w:ascii="Calibri" w:eastAsia="Calibri" w:hAnsi="Calibri" w:cs="Calibri"/>
          <w:color w:val="000000"/>
          <w:szCs w:val="24"/>
        </w:rPr>
        <w:t xml:space="preserve"> presents that ranking, </w:t>
      </w:r>
      <w:r w:rsidR="00DB250E">
        <w:rPr>
          <w:rFonts w:ascii="Calibri" w:eastAsia="Calibri" w:hAnsi="Calibri" w:cs="Calibri"/>
          <w:color w:val="000000"/>
          <w:szCs w:val="24"/>
        </w:rPr>
        <w:t xml:space="preserve">determined by multiplying </w:t>
      </w:r>
      <w:r w:rsidR="00F9311A" w:rsidRPr="00884ED6">
        <w:rPr>
          <w:rFonts w:ascii="Calibri" w:eastAsia="Calibri" w:hAnsi="Calibri" w:cs="Calibri"/>
          <w:color w:val="000000"/>
          <w:szCs w:val="24"/>
        </w:rPr>
        <w:t xml:space="preserve">the probability of occurrence </w:t>
      </w:r>
      <w:r w:rsidR="00DB250E">
        <w:rPr>
          <w:rFonts w:ascii="Calibri" w:eastAsia="Calibri" w:hAnsi="Calibri" w:cs="Calibri"/>
          <w:color w:val="000000"/>
          <w:szCs w:val="24"/>
        </w:rPr>
        <w:t xml:space="preserve">by an average score for </w:t>
      </w:r>
      <w:r w:rsidR="00F9311A" w:rsidRPr="00884ED6">
        <w:rPr>
          <w:rFonts w:ascii="Calibri" w:eastAsia="Calibri" w:hAnsi="Calibri" w:cs="Calibri"/>
          <w:color w:val="000000"/>
          <w:szCs w:val="24"/>
        </w:rPr>
        <w:t>potential impact to the Built and Natural Environments, People, and Economy.</w:t>
      </w:r>
      <w:r w:rsidR="00D35525">
        <w:rPr>
          <w:rFonts w:ascii="Calibri" w:eastAsia="Calibri" w:hAnsi="Calibri" w:cs="Calibri"/>
          <w:color w:val="000000"/>
          <w:szCs w:val="24"/>
        </w:rPr>
        <w:t xml:space="preserve"> </w:t>
      </w:r>
      <w:r w:rsidR="00E745D1">
        <w:rPr>
          <w:rFonts w:ascii="Calibri" w:eastAsia="Calibri" w:hAnsi="Calibri" w:cs="Calibri"/>
          <w:color w:val="000000"/>
          <w:szCs w:val="24"/>
        </w:rPr>
        <w:t xml:space="preserve">Future probability </w:t>
      </w:r>
      <w:r w:rsidR="003301B2">
        <w:rPr>
          <w:rFonts w:ascii="Calibri" w:eastAsia="Calibri" w:hAnsi="Calibri" w:cs="Calibri"/>
          <w:color w:val="000000"/>
          <w:szCs w:val="24"/>
        </w:rPr>
        <w:t xml:space="preserve">included an assessment of </w:t>
      </w:r>
      <w:r w:rsidR="007906AE">
        <w:rPr>
          <w:rFonts w:ascii="Calibri" w:eastAsia="Calibri" w:hAnsi="Calibri" w:cs="Calibri"/>
          <w:color w:val="000000"/>
          <w:szCs w:val="24"/>
        </w:rPr>
        <w:t>potentially</w:t>
      </w:r>
      <w:r w:rsidR="00FE4D80">
        <w:rPr>
          <w:rFonts w:ascii="Calibri" w:eastAsia="Calibri" w:hAnsi="Calibri" w:cs="Calibri"/>
          <w:color w:val="000000"/>
          <w:szCs w:val="24"/>
        </w:rPr>
        <w:t xml:space="preserve"> changing </w:t>
      </w:r>
      <w:r w:rsidR="007906AE">
        <w:rPr>
          <w:rFonts w:ascii="Calibri" w:eastAsia="Calibri" w:hAnsi="Calibri" w:cs="Calibri"/>
          <w:color w:val="000000"/>
          <w:szCs w:val="24"/>
        </w:rPr>
        <w:t xml:space="preserve">locations of hazard impacts, range of intensities, </w:t>
      </w:r>
      <w:proofErr w:type="gramStart"/>
      <w:r w:rsidR="007906AE">
        <w:rPr>
          <w:rFonts w:ascii="Calibri" w:eastAsia="Calibri" w:hAnsi="Calibri" w:cs="Calibri"/>
          <w:color w:val="000000"/>
          <w:szCs w:val="24"/>
        </w:rPr>
        <w:t>frequency</w:t>
      </w:r>
      <w:proofErr w:type="gramEnd"/>
      <w:r w:rsidR="007906AE">
        <w:rPr>
          <w:rFonts w:ascii="Calibri" w:eastAsia="Calibri" w:hAnsi="Calibri" w:cs="Calibri"/>
          <w:color w:val="000000"/>
          <w:szCs w:val="24"/>
        </w:rPr>
        <w:t xml:space="preserve"> and duration.</w:t>
      </w:r>
      <w:r w:rsidR="00F9311A" w:rsidRPr="00884ED6">
        <w:rPr>
          <w:rFonts w:ascii="Calibri" w:eastAsia="Calibri" w:hAnsi="Calibri" w:cs="Calibri"/>
          <w:color w:val="000000"/>
          <w:szCs w:val="24"/>
        </w:rPr>
        <w:t xml:space="preserve"> </w:t>
      </w:r>
      <w:r w:rsidR="00390000">
        <w:rPr>
          <w:rFonts w:ascii="Calibri" w:eastAsia="Calibri" w:hAnsi="Calibri" w:cs="Calibri"/>
          <w:color w:val="000000"/>
          <w:szCs w:val="24"/>
        </w:rPr>
        <w:t xml:space="preserve">This tool can be used </w:t>
      </w:r>
      <w:r w:rsidR="00E66E70">
        <w:rPr>
          <w:rFonts w:ascii="Calibri" w:eastAsia="Calibri" w:hAnsi="Calibri" w:cs="Calibri"/>
          <w:color w:val="000000"/>
          <w:szCs w:val="24"/>
        </w:rPr>
        <w:t xml:space="preserve">for determining </w:t>
      </w:r>
      <w:r w:rsidR="008E4B85">
        <w:rPr>
          <w:rFonts w:ascii="Calibri" w:eastAsia="Calibri" w:hAnsi="Calibri" w:cs="Calibri"/>
          <w:color w:val="000000"/>
          <w:szCs w:val="24"/>
        </w:rPr>
        <w:t>hazard mitigation priorities</w:t>
      </w:r>
      <w:r w:rsidR="00E66E70">
        <w:rPr>
          <w:rFonts w:ascii="Calibri" w:eastAsia="Calibri" w:hAnsi="Calibri" w:cs="Calibri"/>
          <w:color w:val="000000"/>
          <w:szCs w:val="24"/>
        </w:rPr>
        <w:t xml:space="preserve"> within </w:t>
      </w:r>
      <w:r w:rsidR="008E4B85">
        <w:rPr>
          <w:rFonts w:ascii="Calibri" w:eastAsia="Calibri" w:hAnsi="Calibri" w:cs="Calibri"/>
          <w:color w:val="000000"/>
          <w:szCs w:val="24"/>
        </w:rPr>
        <w:t xml:space="preserve">the State and </w:t>
      </w:r>
      <w:r w:rsidR="00E66E70">
        <w:rPr>
          <w:rFonts w:ascii="Calibri" w:eastAsia="Calibri" w:hAnsi="Calibri" w:cs="Calibri"/>
          <w:color w:val="000000"/>
          <w:szCs w:val="24"/>
        </w:rPr>
        <w:t xml:space="preserve">Local Hazard Mitigation Plans. </w:t>
      </w:r>
      <w:r w:rsidR="00F9311A">
        <w:rPr>
          <w:rFonts w:ascii="Calibri" w:eastAsia="Calibri" w:hAnsi="Calibri" w:cs="Calibri"/>
          <w:color w:val="000000"/>
          <w:szCs w:val="24"/>
        </w:rPr>
        <w:t>The</w:t>
      </w:r>
      <w:r w:rsidR="005F656A">
        <w:rPr>
          <w:rFonts w:ascii="Calibri" w:eastAsia="Calibri" w:hAnsi="Calibri" w:cs="Calibri"/>
          <w:color w:val="000000"/>
          <w:szCs w:val="24"/>
        </w:rPr>
        <w:t xml:space="preserve"> </w:t>
      </w:r>
      <w:r w:rsidR="000B02E1">
        <w:rPr>
          <w:rFonts w:ascii="Calibri" w:eastAsia="Calibri" w:hAnsi="Calibri" w:cs="Calibri"/>
          <w:color w:val="000000"/>
          <w:szCs w:val="24"/>
        </w:rPr>
        <w:t>column headers</w:t>
      </w:r>
      <w:r w:rsidR="00F9311A">
        <w:rPr>
          <w:rFonts w:ascii="Calibri" w:eastAsia="Calibri" w:hAnsi="Calibri" w:cs="Calibri"/>
          <w:color w:val="000000"/>
          <w:szCs w:val="24"/>
        </w:rPr>
        <w:t xml:space="preserve"> are not perfectly siloed. Basic definitions are provided below to better understand the potential impacts under each column header, but each category is cross-cutting and related to the others. Additionally, it is a</w:t>
      </w:r>
      <w:r w:rsidR="001F0DA4">
        <w:rPr>
          <w:rFonts w:ascii="Calibri" w:eastAsia="Calibri" w:hAnsi="Calibri" w:cs="Calibri"/>
          <w:color w:val="000000"/>
          <w:szCs w:val="24"/>
        </w:rPr>
        <w:t xml:space="preserve">n imperfect process </w:t>
      </w:r>
      <w:r w:rsidR="00F9311A">
        <w:rPr>
          <w:rFonts w:ascii="Calibri" w:eastAsia="Calibri" w:hAnsi="Calibri" w:cs="Calibri"/>
          <w:color w:val="000000"/>
          <w:szCs w:val="24"/>
        </w:rPr>
        <w:t xml:space="preserve">to rank slow-moving hazards, with creeping impacts such as drought </w:t>
      </w:r>
      <w:r w:rsidR="00DE5EBE">
        <w:rPr>
          <w:rFonts w:ascii="Calibri" w:eastAsia="Calibri" w:hAnsi="Calibri" w:cs="Calibri"/>
          <w:color w:val="000000"/>
          <w:szCs w:val="24"/>
        </w:rPr>
        <w:t>or</w:t>
      </w:r>
      <w:r w:rsidR="00F9311A">
        <w:rPr>
          <w:rFonts w:ascii="Calibri" w:eastAsia="Calibri" w:hAnsi="Calibri" w:cs="Calibri"/>
          <w:color w:val="000000"/>
          <w:szCs w:val="24"/>
        </w:rPr>
        <w:t xml:space="preserve"> invasive species, using the same criteria as fast-moving hazards such as inundation flooding. </w:t>
      </w:r>
      <w:r w:rsidR="001F420F">
        <w:rPr>
          <w:rFonts w:ascii="Calibri" w:eastAsia="Calibri" w:hAnsi="Calibri" w:cs="Calibri"/>
          <w:color w:val="000000"/>
          <w:szCs w:val="24"/>
        </w:rPr>
        <w:t>Additionally,</w:t>
      </w:r>
      <w:r w:rsidR="00F9311A">
        <w:rPr>
          <w:rFonts w:ascii="Calibri" w:eastAsia="Calibri" w:hAnsi="Calibri" w:cs="Calibri"/>
          <w:color w:val="000000"/>
          <w:szCs w:val="24"/>
        </w:rPr>
        <w:t xml:space="preserve"> crossing-cutting issues and other challenges will be further discussed within Section 5 of the Plan. </w:t>
      </w:r>
      <w:r w:rsidR="001F420F">
        <w:rPr>
          <w:rFonts w:ascii="Calibri" w:eastAsia="Calibri" w:hAnsi="Calibri" w:cs="Calibri"/>
          <w:color w:val="000000"/>
          <w:szCs w:val="24"/>
        </w:rPr>
        <w:t>Specific hazard impacts on the built and natural environments, people, and economy are expanded upon in each hazard profile.</w:t>
      </w:r>
    </w:p>
    <w:p w14:paraId="13CAB76F" w14:textId="77777777" w:rsidR="00F9311A" w:rsidRDefault="00F9311A" w:rsidP="003E0455">
      <w:pPr>
        <w:suppressAutoHyphens/>
        <w:autoSpaceDE w:val="0"/>
        <w:autoSpaceDN w:val="0"/>
        <w:adjustRightInd w:val="0"/>
        <w:spacing w:after="0" w:line="288" w:lineRule="auto"/>
        <w:textAlignment w:val="center"/>
        <w:rPr>
          <w:rFonts w:ascii="Calibri" w:eastAsia="Calibri" w:hAnsi="Calibri" w:cs="Calibri"/>
          <w:color w:val="000000"/>
          <w:szCs w:val="24"/>
        </w:rPr>
      </w:pPr>
    </w:p>
    <w:p w14:paraId="62EBE361" w14:textId="374E1F8F" w:rsidR="00F9311A" w:rsidRDefault="00F9311A" w:rsidP="003E0455">
      <w:pPr>
        <w:suppressAutoHyphens/>
        <w:autoSpaceDE w:val="0"/>
        <w:autoSpaceDN w:val="0"/>
        <w:adjustRightInd w:val="0"/>
        <w:spacing w:after="0" w:line="288" w:lineRule="auto"/>
        <w:textAlignment w:val="center"/>
        <w:rPr>
          <w:rFonts w:ascii="Calibri" w:eastAsia="Calibri" w:hAnsi="Calibri" w:cs="Calibri"/>
          <w:color w:val="000000"/>
          <w:szCs w:val="24"/>
        </w:rPr>
      </w:pPr>
      <w:r w:rsidRPr="00014E00">
        <w:rPr>
          <w:rFonts w:ascii="Calibri" w:eastAsia="Calibri" w:hAnsi="Calibri" w:cs="Calibri"/>
          <w:color w:val="000000"/>
          <w:szCs w:val="24"/>
          <w:highlight w:val="yellow"/>
        </w:rPr>
        <w:t xml:space="preserve">Table </w:t>
      </w:r>
      <w:r w:rsidRPr="006D7C6B">
        <w:rPr>
          <w:rFonts w:ascii="Calibri" w:eastAsia="Calibri" w:hAnsi="Calibri" w:cs="Calibri"/>
          <w:color w:val="000000"/>
          <w:szCs w:val="24"/>
          <w:highlight w:val="yellow"/>
        </w:rPr>
        <w:t>17</w:t>
      </w:r>
      <w:r w:rsidRPr="00884ED6">
        <w:rPr>
          <w:rFonts w:ascii="Calibri" w:eastAsia="Calibri" w:hAnsi="Calibri" w:cs="Calibri"/>
          <w:color w:val="000000"/>
          <w:szCs w:val="24"/>
        </w:rPr>
        <w:t xml:space="preserve"> details the hazard assessment ranking criteria</w:t>
      </w:r>
      <w:r>
        <w:rPr>
          <w:rFonts w:ascii="Calibri" w:eastAsia="Calibri" w:hAnsi="Calibri" w:cs="Calibri"/>
          <w:color w:val="000000"/>
          <w:szCs w:val="24"/>
        </w:rPr>
        <w:t xml:space="preserve"> used in </w:t>
      </w:r>
      <w:r w:rsidRPr="00014E00">
        <w:rPr>
          <w:rFonts w:ascii="Calibri" w:eastAsia="Calibri" w:hAnsi="Calibri" w:cs="Calibri"/>
          <w:color w:val="000000"/>
          <w:szCs w:val="24"/>
          <w:highlight w:val="yellow"/>
        </w:rPr>
        <w:t xml:space="preserve">Table </w:t>
      </w:r>
      <w:r w:rsidRPr="006D7C6B">
        <w:rPr>
          <w:rFonts w:ascii="Calibri" w:eastAsia="Calibri" w:hAnsi="Calibri" w:cs="Calibri"/>
          <w:color w:val="000000"/>
          <w:szCs w:val="24"/>
          <w:highlight w:val="yellow"/>
        </w:rPr>
        <w:t>16</w:t>
      </w:r>
      <w:r w:rsidRPr="00884ED6">
        <w:rPr>
          <w:rFonts w:ascii="Calibri" w:eastAsia="Calibri" w:hAnsi="Calibri" w:cs="Calibri"/>
          <w:color w:val="000000"/>
          <w:szCs w:val="24"/>
        </w:rPr>
        <w:t xml:space="preserve">. </w:t>
      </w:r>
      <w:r>
        <w:rPr>
          <w:rFonts w:ascii="Calibri" w:eastAsia="Calibri" w:hAnsi="Calibri" w:cs="Calibri"/>
          <w:color w:val="000000"/>
          <w:szCs w:val="24"/>
        </w:rPr>
        <w:t xml:space="preserve">Hazard ranking is determined by frequency of occurrence (probability) and potential impact. </w:t>
      </w:r>
      <w:r w:rsidRPr="00CA46AE">
        <w:rPr>
          <w:rFonts w:ascii="Calibri" w:eastAsia="Calibri" w:hAnsi="Calibri" w:cs="Calibri"/>
          <w:i/>
          <w:iCs/>
          <w:color w:val="000000"/>
          <w:szCs w:val="24"/>
        </w:rPr>
        <w:t>Minor economic disruption</w:t>
      </w:r>
      <w:r>
        <w:rPr>
          <w:rFonts w:ascii="Calibri" w:eastAsia="Calibri" w:hAnsi="Calibri" w:cs="Calibri"/>
          <w:color w:val="000000"/>
          <w:szCs w:val="24"/>
        </w:rPr>
        <w:t xml:space="preserve"> is considered isolated and very short-term – characterized by employees unable to make it to work or businesses closed for 1-3 days, and supply chain issues lasting less than a few weeks. </w:t>
      </w:r>
      <w:r w:rsidRPr="00CA46AE">
        <w:rPr>
          <w:rFonts w:ascii="Calibri" w:eastAsia="Calibri" w:hAnsi="Calibri" w:cs="Calibri"/>
          <w:i/>
          <w:iCs/>
          <w:color w:val="000000"/>
          <w:szCs w:val="24"/>
        </w:rPr>
        <w:t>Short-term economic impact</w:t>
      </w:r>
      <w:r>
        <w:rPr>
          <w:rFonts w:ascii="Calibri" w:eastAsia="Calibri" w:hAnsi="Calibri" w:cs="Calibri"/>
          <w:color w:val="000000"/>
          <w:szCs w:val="24"/>
        </w:rPr>
        <w:t xml:space="preserve"> has further-reaching and longer-lasting impacts, but the state will recover in less than 5 years. Both minor economic disruption and short-term economic impact will be most detrimental to low-income individuals and communities that may not have savings necessary to weather a temporary loss of work. In addition to economic impacts, h</w:t>
      </w:r>
      <w:r>
        <w:rPr>
          <w:rFonts w:ascii="Calibri" w:eastAsia="Calibri" w:hAnsi="Calibri" w:cs="Calibri"/>
          <w:color w:val="000000" w:themeColor="text1"/>
        </w:rPr>
        <w:t xml:space="preserve">azard events </w:t>
      </w:r>
      <w:r w:rsidRPr="2848DFFC">
        <w:rPr>
          <w:rFonts w:ascii="Calibri" w:eastAsia="Calibri" w:hAnsi="Calibri" w:cs="Calibri"/>
          <w:color w:val="000000" w:themeColor="text1"/>
        </w:rPr>
        <w:t xml:space="preserve">can severely impact quality of life for individuals and communities. Certain Individuals and communities may feel the brunt of hazards more so than others depending on several factors. Vermont’s Climate Action Plan defines Frontline Communities as those who feel the “worst and first” consequences of climate change. </w:t>
      </w:r>
      <w:r>
        <w:rPr>
          <w:rFonts w:ascii="Calibri" w:eastAsia="Calibri" w:hAnsi="Calibri" w:cs="Calibri"/>
          <w:color w:val="000000" w:themeColor="text1"/>
        </w:rPr>
        <w:t xml:space="preserve">Through the hazard ranking process, the </w:t>
      </w:r>
      <w:r w:rsidR="00565635">
        <w:rPr>
          <w:rFonts w:ascii="Calibri" w:eastAsia="Calibri" w:hAnsi="Calibri" w:cs="Calibri"/>
          <w:color w:val="000000" w:themeColor="text1"/>
        </w:rPr>
        <w:t>S</w:t>
      </w:r>
      <w:r>
        <w:rPr>
          <w:rFonts w:ascii="Calibri" w:eastAsia="Calibri" w:hAnsi="Calibri" w:cs="Calibri"/>
          <w:color w:val="000000" w:themeColor="text1"/>
        </w:rPr>
        <w:t xml:space="preserve">teering </w:t>
      </w:r>
      <w:r w:rsidR="00565635">
        <w:rPr>
          <w:rFonts w:ascii="Calibri" w:eastAsia="Calibri" w:hAnsi="Calibri" w:cs="Calibri"/>
          <w:color w:val="000000" w:themeColor="text1"/>
        </w:rPr>
        <w:t>C</w:t>
      </w:r>
      <w:r>
        <w:rPr>
          <w:rFonts w:ascii="Calibri" w:eastAsia="Calibri" w:hAnsi="Calibri" w:cs="Calibri"/>
          <w:color w:val="000000" w:themeColor="text1"/>
        </w:rPr>
        <w:t>ommittee was instructed to think about the impact of each hazard on frontline communities.</w:t>
      </w:r>
    </w:p>
    <w:p w14:paraId="0E7EFA13" w14:textId="77777777" w:rsidR="00F9311A" w:rsidRPr="00884ED6" w:rsidRDefault="00F9311A" w:rsidP="003E0455">
      <w:pPr>
        <w:suppressAutoHyphens/>
        <w:autoSpaceDE w:val="0"/>
        <w:autoSpaceDN w:val="0"/>
        <w:adjustRightInd w:val="0"/>
        <w:spacing w:after="0" w:line="288" w:lineRule="auto"/>
        <w:textAlignment w:val="center"/>
        <w:rPr>
          <w:rFonts w:ascii="Calibri" w:eastAsia="Calibri" w:hAnsi="Calibri" w:cs="Calibri"/>
          <w:color w:val="000000"/>
          <w:szCs w:val="24"/>
        </w:rPr>
      </w:pPr>
    </w:p>
    <w:p w14:paraId="384C6BB7" w14:textId="24D39398" w:rsidR="00F9311A" w:rsidRDefault="00F9311A" w:rsidP="003E0455">
      <w:pPr>
        <w:suppressAutoHyphens/>
        <w:autoSpaceDE w:val="0"/>
        <w:autoSpaceDN w:val="0"/>
        <w:adjustRightInd w:val="0"/>
        <w:spacing w:after="0" w:line="288" w:lineRule="auto"/>
        <w:textAlignment w:val="center"/>
        <w:rPr>
          <w:rFonts w:ascii="Calibri" w:eastAsia="Calibri" w:hAnsi="Calibri" w:cs="Calibri"/>
          <w:color w:val="000000" w:themeColor="text1"/>
        </w:rPr>
      </w:pPr>
      <w:r w:rsidRPr="2848DFFC">
        <w:rPr>
          <w:rFonts w:ascii="Calibri" w:eastAsia="Calibri" w:hAnsi="Calibri" w:cs="Calibri"/>
          <w:color w:val="000000" w:themeColor="text1"/>
        </w:rPr>
        <w:t xml:space="preserve">The </w:t>
      </w:r>
      <w:r w:rsidRPr="2848DFFC">
        <w:rPr>
          <w:rFonts w:ascii="Calibri" w:eastAsia="Calibri" w:hAnsi="Calibri" w:cs="Calibri"/>
          <w:b/>
          <w:bCs/>
          <w:i/>
          <w:iCs/>
          <w:color w:val="000000" w:themeColor="text1"/>
        </w:rPr>
        <w:t xml:space="preserve">Built Environment </w:t>
      </w:r>
      <w:r w:rsidRPr="2848DFFC">
        <w:rPr>
          <w:rFonts w:ascii="Calibri" w:eastAsia="Calibri" w:hAnsi="Calibri" w:cs="Calibri"/>
          <w:color w:val="000000" w:themeColor="text1"/>
        </w:rPr>
        <w:t xml:space="preserve">is comprised of the manmade structures </w:t>
      </w:r>
      <w:r>
        <w:rPr>
          <w:rFonts w:ascii="Calibri" w:eastAsia="Calibri" w:hAnsi="Calibri" w:cs="Calibri"/>
          <w:color w:val="000000" w:themeColor="text1"/>
        </w:rPr>
        <w:t xml:space="preserve">and infrastructure </w:t>
      </w:r>
      <w:r w:rsidRPr="2848DFFC">
        <w:rPr>
          <w:rFonts w:ascii="Calibri" w:eastAsia="Calibri" w:hAnsi="Calibri" w:cs="Calibri"/>
          <w:color w:val="000000" w:themeColor="text1"/>
        </w:rPr>
        <w:t xml:space="preserve">in our communities, including municipal water systems, </w:t>
      </w:r>
      <w:r w:rsidR="00AD792E">
        <w:rPr>
          <w:rFonts w:ascii="Calibri" w:eastAsia="Calibri" w:hAnsi="Calibri" w:cs="Calibri"/>
          <w:color w:val="000000" w:themeColor="text1"/>
        </w:rPr>
        <w:t xml:space="preserve">dams, </w:t>
      </w:r>
      <w:r w:rsidR="00C916D3">
        <w:rPr>
          <w:rFonts w:ascii="Calibri" w:eastAsia="Calibri" w:hAnsi="Calibri" w:cs="Calibri"/>
          <w:color w:val="000000" w:themeColor="text1"/>
        </w:rPr>
        <w:t>homes</w:t>
      </w:r>
      <w:r w:rsidRPr="2848DFFC">
        <w:rPr>
          <w:rFonts w:ascii="Calibri" w:eastAsia="Calibri" w:hAnsi="Calibri" w:cs="Calibri"/>
          <w:color w:val="000000" w:themeColor="text1"/>
        </w:rPr>
        <w:t xml:space="preserve">, bridges, roads, wastewater treatment plants, electrical and communication systems, libraries, medical facilities, fire stations, and town halls. Features of the built environment can be both functionally and culturally valuable to the people living there. After a disaster, the impacts to the built environment are some of the most visible. </w:t>
      </w:r>
    </w:p>
    <w:p w14:paraId="2B8F6867" w14:textId="77777777" w:rsidR="00183659" w:rsidRPr="00884ED6" w:rsidRDefault="00183659" w:rsidP="003E0455">
      <w:pPr>
        <w:suppressAutoHyphens/>
        <w:autoSpaceDE w:val="0"/>
        <w:autoSpaceDN w:val="0"/>
        <w:adjustRightInd w:val="0"/>
        <w:spacing w:after="0" w:line="288" w:lineRule="auto"/>
        <w:textAlignment w:val="center"/>
        <w:rPr>
          <w:rFonts w:ascii="Calibri" w:eastAsia="Calibri" w:hAnsi="Calibri" w:cs="Calibri"/>
          <w:color w:val="000000"/>
          <w:szCs w:val="24"/>
        </w:rPr>
      </w:pPr>
    </w:p>
    <w:p w14:paraId="66CD29E3" w14:textId="4A8DD4AB" w:rsidR="00F9311A" w:rsidRPr="00884ED6" w:rsidRDefault="00F9311A" w:rsidP="003E0455">
      <w:pPr>
        <w:suppressAutoHyphens/>
        <w:autoSpaceDE w:val="0"/>
        <w:autoSpaceDN w:val="0"/>
        <w:adjustRightInd w:val="0"/>
        <w:spacing w:after="0" w:line="288" w:lineRule="auto"/>
        <w:textAlignment w:val="center"/>
        <w:rPr>
          <w:rFonts w:ascii="Calibri" w:eastAsia="Calibri" w:hAnsi="Calibri" w:cs="Calibri"/>
          <w:color w:val="000000"/>
        </w:rPr>
      </w:pPr>
      <w:r w:rsidRPr="2848DFFC">
        <w:rPr>
          <w:rFonts w:ascii="Calibri" w:eastAsia="Calibri" w:hAnsi="Calibri" w:cs="Calibri"/>
          <w:b/>
          <w:bCs/>
          <w:i/>
          <w:iCs/>
          <w:color w:val="000000" w:themeColor="text1"/>
        </w:rPr>
        <w:t>Natural Environment</w:t>
      </w:r>
      <w:r w:rsidRPr="2848DFFC">
        <w:rPr>
          <w:rFonts w:ascii="Calibri" w:eastAsia="Calibri" w:hAnsi="Calibri" w:cs="Calibri"/>
          <w:color w:val="000000" w:themeColor="text1"/>
        </w:rPr>
        <w:t xml:space="preserve"> encompasses natural resources and ecosystems, but also the natural features integrated with our communities including urban trees and agricultural land. Water, soil,</w:t>
      </w:r>
      <w:r>
        <w:rPr>
          <w:rFonts w:ascii="Calibri" w:eastAsia="Calibri" w:hAnsi="Calibri" w:cs="Calibri"/>
          <w:color w:val="000000" w:themeColor="text1"/>
        </w:rPr>
        <w:t xml:space="preserve"> air,</w:t>
      </w:r>
      <w:r w:rsidRPr="2848DFFC">
        <w:rPr>
          <w:rFonts w:ascii="Calibri" w:eastAsia="Calibri" w:hAnsi="Calibri" w:cs="Calibri"/>
          <w:color w:val="000000" w:themeColor="text1"/>
        </w:rPr>
        <w:t xml:space="preserve"> forest products, fish and wildlife are all natural resources. </w:t>
      </w:r>
      <w:r>
        <w:rPr>
          <w:rFonts w:ascii="Calibri" w:eastAsia="Calibri" w:hAnsi="Calibri" w:cs="Calibri"/>
          <w:color w:val="000000" w:themeColor="text1"/>
        </w:rPr>
        <w:t>Ecosystems include l</w:t>
      </w:r>
      <w:r w:rsidRPr="2848DFFC">
        <w:rPr>
          <w:rFonts w:ascii="Calibri" w:eastAsia="Calibri" w:hAnsi="Calibri" w:cs="Calibri"/>
          <w:color w:val="000000" w:themeColor="text1"/>
        </w:rPr>
        <w:t xml:space="preserve">akes, forests, meadows, and rivers. Ecosystem services are the processes of the natural environment producing benefits to humans such as flood control and water </w:t>
      </w:r>
      <w:r>
        <w:rPr>
          <w:rFonts w:ascii="Calibri" w:eastAsia="Calibri" w:hAnsi="Calibri" w:cs="Calibri"/>
          <w:color w:val="000000" w:themeColor="text1"/>
        </w:rPr>
        <w:t xml:space="preserve">filtration </w:t>
      </w:r>
      <w:r w:rsidRPr="2848DFFC">
        <w:rPr>
          <w:rFonts w:ascii="Calibri" w:eastAsia="Calibri" w:hAnsi="Calibri" w:cs="Calibri"/>
          <w:color w:val="000000" w:themeColor="text1"/>
        </w:rPr>
        <w:t xml:space="preserve">by wetlands. </w:t>
      </w:r>
      <w:r>
        <w:rPr>
          <w:rFonts w:ascii="Calibri" w:eastAsia="Calibri" w:hAnsi="Calibri" w:cs="Calibri"/>
          <w:color w:val="000000" w:themeColor="text1"/>
        </w:rPr>
        <w:t xml:space="preserve">In the absence of human intervention, the </w:t>
      </w:r>
      <w:r w:rsidRPr="2848DFFC">
        <w:rPr>
          <w:rFonts w:ascii="Calibri" w:eastAsia="Calibri" w:hAnsi="Calibri" w:cs="Calibri"/>
          <w:color w:val="000000" w:themeColor="text1"/>
        </w:rPr>
        <w:t>natural environment can withstand natural disturbances,</w:t>
      </w:r>
      <w:r>
        <w:rPr>
          <w:rFonts w:ascii="Calibri" w:eastAsia="Calibri" w:hAnsi="Calibri" w:cs="Calibri"/>
          <w:color w:val="000000" w:themeColor="text1"/>
        </w:rPr>
        <w:t xml:space="preserve"> and depend</w:t>
      </w:r>
      <w:r w:rsidR="00DD17C9">
        <w:rPr>
          <w:rFonts w:ascii="Calibri" w:eastAsia="Calibri" w:hAnsi="Calibri" w:cs="Calibri"/>
          <w:color w:val="000000" w:themeColor="text1"/>
        </w:rPr>
        <w:t>s</w:t>
      </w:r>
      <w:r>
        <w:rPr>
          <w:rFonts w:ascii="Calibri" w:eastAsia="Calibri" w:hAnsi="Calibri" w:cs="Calibri"/>
          <w:color w:val="000000" w:themeColor="text1"/>
        </w:rPr>
        <w:t xml:space="preserve"> on natural hazards to maintain normal ecosystem function. It is due to human dependence on the natural environment for food, water quality, and other natural resources, and human influence on the natural environment, particularly climate change impacts on ecosystem health, that we are concerned with hazard impacts to the environment. </w:t>
      </w:r>
    </w:p>
    <w:p w14:paraId="67CCE492" w14:textId="77777777" w:rsidR="00F9311A" w:rsidRPr="00884ED6" w:rsidRDefault="00F9311A" w:rsidP="003E0455">
      <w:pPr>
        <w:suppressAutoHyphens/>
        <w:autoSpaceDE w:val="0"/>
        <w:autoSpaceDN w:val="0"/>
        <w:adjustRightInd w:val="0"/>
        <w:spacing w:after="0" w:line="288" w:lineRule="auto"/>
        <w:textAlignment w:val="center"/>
        <w:rPr>
          <w:rFonts w:ascii="Calibri" w:eastAsia="Calibri" w:hAnsi="Calibri" w:cs="Calibri"/>
          <w:color w:val="000000"/>
          <w:szCs w:val="24"/>
        </w:rPr>
      </w:pPr>
    </w:p>
    <w:p w14:paraId="3A699F96" w14:textId="77777777" w:rsidR="00F9311A" w:rsidRPr="00884ED6" w:rsidRDefault="00F9311A" w:rsidP="003E0455">
      <w:pPr>
        <w:suppressAutoHyphens/>
        <w:autoSpaceDE w:val="0"/>
        <w:autoSpaceDN w:val="0"/>
        <w:adjustRightInd w:val="0"/>
        <w:spacing w:after="0" w:line="288" w:lineRule="auto"/>
        <w:textAlignment w:val="center"/>
        <w:rPr>
          <w:rFonts w:ascii="Calibri" w:eastAsia="Calibri" w:hAnsi="Calibri" w:cs="Calibri"/>
          <w:color w:val="000000"/>
        </w:rPr>
      </w:pPr>
      <w:r w:rsidRPr="2848DFFC">
        <w:rPr>
          <w:rFonts w:ascii="Calibri" w:eastAsia="Calibri" w:hAnsi="Calibri" w:cs="Calibri"/>
          <w:b/>
          <w:bCs/>
          <w:i/>
          <w:iCs/>
          <w:color w:val="000000" w:themeColor="text1"/>
        </w:rPr>
        <w:t>People</w:t>
      </w:r>
      <w:r w:rsidRPr="2848DFFC">
        <w:rPr>
          <w:rFonts w:ascii="Calibri" w:eastAsia="Calibri" w:hAnsi="Calibri" w:cs="Calibri"/>
          <w:color w:val="000000" w:themeColor="text1"/>
        </w:rPr>
        <w:t xml:space="preserve"> refers to both life and well-being of those who live in, work in, or visit Vermont. Hazard mitigation planning centers around protecting life and property. Hazards can be deadly, but </w:t>
      </w:r>
      <w:r>
        <w:rPr>
          <w:rFonts w:ascii="Calibri" w:eastAsia="Calibri" w:hAnsi="Calibri" w:cs="Calibri"/>
          <w:color w:val="000000" w:themeColor="text1"/>
        </w:rPr>
        <w:t xml:space="preserve">there are many other impacts of hazards that need to be accounted for. A few examples of potential hazard </w:t>
      </w:r>
      <w:r w:rsidRPr="2848DFFC">
        <w:rPr>
          <w:rFonts w:ascii="Calibri" w:eastAsia="Calibri" w:hAnsi="Calibri" w:cs="Calibri"/>
          <w:color w:val="000000" w:themeColor="text1"/>
        </w:rPr>
        <w:t xml:space="preserve">impacts to people are loss of housing, </w:t>
      </w:r>
      <w:r>
        <w:rPr>
          <w:rFonts w:ascii="Calibri" w:eastAsia="Calibri" w:hAnsi="Calibri" w:cs="Calibri"/>
          <w:color w:val="000000" w:themeColor="text1"/>
        </w:rPr>
        <w:t xml:space="preserve">loss of childcare, </w:t>
      </w:r>
      <w:r w:rsidRPr="2848DFFC">
        <w:rPr>
          <w:rFonts w:ascii="Calibri" w:eastAsia="Calibri" w:hAnsi="Calibri" w:cs="Calibri"/>
          <w:color w:val="000000" w:themeColor="text1"/>
        </w:rPr>
        <w:t>displacement, food insecurity, unemployment, illness,</w:t>
      </w:r>
      <w:r>
        <w:rPr>
          <w:rFonts w:ascii="Calibri" w:eastAsia="Calibri" w:hAnsi="Calibri" w:cs="Calibri"/>
          <w:color w:val="000000" w:themeColor="text1"/>
        </w:rPr>
        <w:t xml:space="preserve"> psychological</w:t>
      </w:r>
      <w:r w:rsidRPr="2848DFFC">
        <w:rPr>
          <w:rFonts w:ascii="Calibri" w:eastAsia="Calibri" w:hAnsi="Calibri" w:cs="Calibri"/>
          <w:color w:val="000000" w:themeColor="text1"/>
        </w:rPr>
        <w:t xml:space="preserve"> trauma, depression, and loss of life. </w:t>
      </w:r>
    </w:p>
    <w:p w14:paraId="011C2293" w14:textId="77777777" w:rsidR="00F9311A" w:rsidRPr="00884ED6" w:rsidRDefault="00F9311A" w:rsidP="003E0455">
      <w:pPr>
        <w:suppressAutoHyphens/>
        <w:autoSpaceDE w:val="0"/>
        <w:autoSpaceDN w:val="0"/>
        <w:adjustRightInd w:val="0"/>
        <w:spacing w:after="0" w:line="288" w:lineRule="auto"/>
        <w:textAlignment w:val="center"/>
        <w:rPr>
          <w:rFonts w:ascii="Calibri" w:eastAsia="Calibri" w:hAnsi="Calibri" w:cs="Calibri"/>
          <w:color w:val="000000"/>
          <w:szCs w:val="24"/>
        </w:rPr>
      </w:pPr>
    </w:p>
    <w:p w14:paraId="711181CA" w14:textId="6819C2CA" w:rsidR="00BD64E2" w:rsidRDefault="00F9311A" w:rsidP="00F9311A">
      <w:pPr>
        <w:suppressAutoHyphens/>
        <w:autoSpaceDE w:val="0"/>
        <w:autoSpaceDN w:val="0"/>
        <w:adjustRightInd w:val="0"/>
        <w:spacing w:after="240" w:line="288" w:lineRule="auto"/>
        <w:textAlignment w:val="center"/>
        <w:rPr>
          <w:rFonts w:ascii="Calibri" w:eastAsia="Calibri" w:hAnsi="Calibri" w:cs="Calibri"/>
          <w:color w:val="000000" w:themeColor="text1"/>
        </w:rPr>
      </w:pPr>
      <w:r w:rsidRPr="139E3555">
        <w:rPr>
          <w:rFonts w:ascii="Calibri" w:eastAsia="Calibri" w:hAnsi="Calibri" w:cs="Calibri"/>
          <w:b/>
          <w:bCs/>
          <w:i/>
          <w:iCs/>
          <w:color w:val="000000" w:themeColor="text1"/>
        </w:rPr>
        <w:t>Economy</w:t>
      </w:r>
      <w:r w:rsidRPr="139E3555">
        <w:rPr>
          <w:rFonts w:ascii="Calibri" w:eastAsia="Calibri" w:hAnsi="Calibri" w:cs="Calibri"/>
          <w:b/>
          <w:bCs/>
          <w:color w:val="000000" w:themeColor="text1"/>
        </w:rPr>
        <w:t xml:space="preserve"> </w:t>
      </w:r>
      <w:r w:rsidRPr="139E3555">
        <w:rPr>
          <w:rFonts w:ascii="Calibri" w:eastAsia="Calibri" w:hAnsi="Calibri" w:cs="Calibri"/>
          <w:color w:val="000000" w:themeColor="text1"/>
        </w:rPr>
        <w:t>captures the economic impacts of hazards that can lead to</w:t>
      </w:r>
      <w:r>
        <w:rPr>
          <w:rFonts w:ascii="Calibri" w:eastAsia="Calibri" w:hAnsi="Calibri" w:cs="Calibri"/>
          <w:color w:val="000000" w:themeColor="text1"/>
        </w:rPr>
        <w:t xml:space="preserve"> short and</w:t>
      </w:r>
      <w:r w:rsidRPr="139E3555">
        <w:rPr>
          <w:rFonts w:ascii="Calibri" w:eastAsia="Calibri" w:hAnsi="Calibri" w:cs="Calibri"/>
          <w:color w:val="000000" w:themeColor="text1"/>
        </w:rPr>
        <w:t xml:space="preserve"> long-term financial hardships. Hazards can cause agricultural losses, decline in tourism, damages to storefronts and goods for sale, loss of employers and jobs, and disruption in supply chains. There is also the substantial cost of paying for recovery from hazard events for the state, municipalities, individuals, nongovernmental organizations, and businesses.</w:t>
      </w:r>
      <w:r w:rsidR="00ED6B9E">
        <w:rPr>
          <w:rFonts w:ascii="Calibri" w:eastAsia="Calibri" w:hAnsi="Calibri" w:cs="Calibri"/>
          <w:color w:val="000000" w:themeColor="text1"/>
        </w:rPr>
        <w:t xml:space="preserve"> </w:t>
      </w:r>
    </w:p>
    <w:p w14:paraId="5D85CF75" w14:textId="6CE83E36" w:rsidR="00954886" w:rsidRDefault="422D790E" w:rsidP="00954886">
      <w:pPr>
        <w:suppressAutoHyphens/>
        <w:autoSpaceDE w:val="0"/>
        <w:autoSpaceDN w:val="0"/>
        <w:adjustRightInd w:val="0"/>
        <w:spacing w:after="240" w:line="288" w:lineRule="auto"/>
        <w:textAlignment w:val="center"/>
        <w:rPr>
          <w:rFonts w:ascii="Calibri" w:eastAsia="Calibri" w:hAnsi="Calibri" w:cs="Calibri"/>
          <w:b/>
          <w:color w:val="000000" w:themeColor="text1"/>
        </w:rPr>
      </w:pPr>
      <w:r w:rsidRPr="422D790E">
        <w:rPr>
          <w:rFonts w:ascii="Calibri" w:eastAsia="Calibri" w:hAnsi="Calibri" w:cs="Calibri"/>
          <w:b/>
          <w:bCs/>
          <w:color w:val="000000" w:themeColor="text1"/>
          <w:highlight w:val="yellow"/>
        </w:rPr>
        <w:t>Table 16</w:t>
      </w:r>
      <w:r w:rsidRPr="422D790E">
        <w:rPr>
          <w:rFonts w:ascii="Calibri" w:eastAsia="Calibri" w:hAnsi="Calibri" w:cs="Calibri"/>
          <w:b/>
          <w:bCs/>
          <w:color w:val="000000" w:themeColor="text1"/>
        </w:rPr>
        <w:t xml:space="preserve">: Hazard Assessment: </w:t>
      </w:r>
    </w:p>
    <w:p w14:paraId="02A99387" w14:textId="77777777" w:rsidR="00F75E44" w:rsidRPr="00BF6F95" w:rsidRDefault="00F75E44" w:rsidP="00BF6F95">
      <w:pPr>
        <w:suppressAutoHyphens/>
        <w:autoSpaceDE w:val="0"/>
        <w:autoSpaceDN w:val="0"/>
        <w:adjustRightInd w:val="0"/>
        <w:spacing w:after="240" w:line="288" w:lineRule="auto"/>
        <w:textAlignment w:val="center"/>
        <w:rPr>
          <w:rFonts w:ascii="Calibri" w:eastAsia="Calibri" w:hAnsi="Calibri" w:cs="Calibri"/>
          <w:b/>
          <w:bCs/>
          <w:color w:val="000000" w:themeColor="text1"/>
        </w:rPr>
      </w:pPr>
    </w:p>
    <w:tbl>
      <w:tblPr>
        <w:tblpPr w:leftFromText="180" w:rightFromText="180" w:vertAnchor="text" w:horzAnchor="margin" w:tblpXSpec="center" w:tblpY="1576"/>
        <w:tblW w:w="10780" w:type="dxa"/>
        <w:tblLayout w:type="fixed"/>
        <w:tblCellMar>
          <w:left w:w="0" w:type="dxa"/>
          <w:right w:w="0" w:type="dxa"/>
        </w:tblCellMar>
        <w:tblLook w:val="0000" w:firstRow="0" w:lastRow="0" w:firstColumn="0" w:lastColumn="0" w:noHBand="0" w:noVBand="0"/>
      </w:tblPr>
      <w:tblGrid>
        <w:gridCol w:w="2265"/>
        <w:gridCol w:w="1325"/>
        <w:gridCol w:w="1440"/>
        <w:gridCol w:w="1037"/>
        <w:gridCol w:w="1181"/>
        <w:gridCol w:w="1497"/>
        <w:gridCol w:w="1099"/>
        <w:gridCol w:w="936"/>
      </w:tblGrid>
      <w:tr w:rsidR="00BF6F95" w:rsidRPr="00BE3741" w14:paraId="2E2B4C49" w14:textId="77777777">
        <w:trPr>
          <w:trHeight w:val="25"/>
        </w:trPr>
        <w:tc>
          <w:tcPr>
            <w:tcW w:w="10780" w:type="dxa"/>
            <w:gridSpan w:val="8"/>
            <w:tcBorders>
              <w:top w:val="single" w:sz="8" w:space="0" w:color="FFFFFF"/>
              <w:left w:val="single" w:sz="8" w:space="0" w:color="FFFFFF"/>
              <w:bottom w:val="single" w:sz="8" w:space="0" w:color="FFFFFF"/>
              <w:right w:val="single" w:sz="8" w:space="0" w:color="FFFFFF"/>
            </w:tcBorders>
            <w:shd w:val="solid" w:color="11713F" w:fill="auto"/>
            <w:tcMar>
              <w:top w:w="80" w:type="dxa"/>
              <w:left w:w="80" w:type="dxa"/>
              <w:bottom w:w="80" w:type="dxa"/>
              <w:right w:w="80" w:type="dxa"/>
            </w:tcMar>
          </w:tcPr>
          <w:p w14:paraId="05050F5E" w14:textId="50269A35" w:rsidR="00BF6F95" w:rsidRPr="00BE3741" w:rsidRDefault="00BF6F95">
            <w:pPr>
              <w:suppressAutoHyphens/>
              <w:autoSpaceDE w:val="0"/>
              <w:autoSpaceDN w:val="0"/>
              <w:adjustRightInd w:val="0"/>
              <w:spacing w:after="0" w:line="240" w:lineRule="auto"/>
              <w:ind w:left="-705" w:firstLine="705"/>
              <w:contextualSpacing/>
              <w:textAlignment w:val="center"/>
              <w:rPr>
                <w:rFonts w:cstheme="minorHAnsi"/>
                <w:color w:val="000000"/>
              </w:rPr>
            </w:pPr>
            <w:r w:rsidRPr="00BE3741">
              <w:rPr>
                <w:rFonts w:cstheme="minorHAnsi"/>
                <w:b/>
                <w:bCs/>
                <w:color w:val="FFFFFF"/>
              </w:rPr>
              <w:t xml:space="preserve">Table </w:t>
            </w:r>
            <w:r w:rsidR="004D780A">
              <w:rPr>
                <w:rFonts w:cstheme="minorHAnsi"/>
                <w:b/>
                <w:bCs/>
                <w:color w:val="FFFFFF"/>
              </w:rPr>
              <w:t>16</w:t>
            </w:r>
            <w:r w:rsidRPr="00BE3741">
              <w:rPr>
                <w:rFonts w:cstheme="minorHAnsi"/>
                <w:b/>
                <w:bCs/>
                <w:color w:val="FFFFFF"/>
              </w:rPr>
              <w:t>: Hazard Assessment</w:t>
            </w:r>
            <w:r w:rsidRPr="00BE3741">
              <w:rPr>
                <w:rFonts w:cstheme="minorHAnsi"/>
                <w:b/>
                <w:bCs/>
                <w:color w:val="000000"/>
              </w:rPr>
              <w:t xml:space="preserve"> </w:t>
            </w:r>
          </w:p>
        </w:tc>
      </w:tr>
      <w:tr w:rsidR="00BF6F95" w:rsidRPr="00BE3741" w14:paraId="4C253493" w14:textId="77777777">
        <w:trPr>
          <w:trHeight w:val="20"/>
        </w:trPr>
        <w:tc>
          <w:tcPr>
            <w:tcW w:w="2265" w:type="dxa"/>
            <w:vMerge w:val="restart"/>
            <w:tcBorders>
              <w:top w:val="single" w:sz="8" w:space="0" w:color="FFFFFF"/>
              <w:left w:val="single" w:sz="8" w:space="0" w:color="FFFFFF"/>
              <w:bottom w:val="single" w:sz="8" w:space="0" w:color="FFFFFF"/>
              <w:right w:val="single" w:sz="8" w:space="0" w:color="FFFFFF"/>
            </w:tcBorders>
            <w:shd w:val="solid" w:color="11713F" w:fill="auto"/>
            <w:tcMar>
              <w:top w:w="80" w:type="dxa"/>
              <w:left w:w="80" w:type="dxa"/>
              <w:bottom w:w="80" w:type="dxa"/>
              <w:right w:w="80" w:type="dxa"/>
            </w:tcMar>
            <w:vAlign w:val="center"/>
          </w:tcPr>
          <w:p w14:paraId="4E1A5CC4" w14:textId="77777777" w:rsidR="00BF6F95" w:rsidRPr="00BE3741" w:rsidRDefault="00BF6F95">
            <w:pPr>
              <w:suppressAutoHyphens/>
              <w:autoSpaceDE w:val="0"/>
              <w:autoSpaceDN w:val="0"/>
              <w:adjustRightInd w:val="0"/>
              <w:spacing w:after="0" w:line="240" w:lineRule="auto"/>
              <w:ind w:left="-705" w:firstLine="705"/>
              <w:contextualSpacing/>
              <w:textAlignment w:val="center"/>
              <w:rPr>
                <w:rFonts w:cstheme="minorHAnsi"/>
                <w:color w:val="000000"/>
              </w:rPr>
            </w:pPr>
            <w:r w:rsidRPr="00BE3741">
              <w:rPr>
                <w:rFonts w:cstheme="minorHAnsi"/>
                <w:b/>
                <w:bCs/>
                <w:color w:val="FFFFFF"/>
              </w:rPr>
              <w:t>Hazard Impacts</w:t>
            </w:r>
          </w:p>
        </w:tc>
        <w:tc>
          <w:tcPr>
            <w:tcW w:w="1325" w:type="dxa"/>
            <w:vMerge w:val="restart"/>
            <w:tcBorders>
              <w:top w:val="single" w:sz="8" w:space="0" w:color="FFFFFF"/>
              <w:left w:val="single" w:sz="8" w:space="0" w:color="FFFFFF"/>
              <w:bottom w:val="single" w:sz="8" w:space="0" w:color="FFFFFF"/>
              <w:right w:val="single" w:sz="8" w:space="0" w:color="FFFFFF"/>
            </w:tcBorders>
            <w:shd w:val="solid" w:color="11713F" w:fill="auto"/>
            <w:tcMar>
              <w:top w:w="80" w:type="dxa"/>
              <w:left w:w="80" w:type="dxa"/>
              <w:bottom w:w="80" w:type="dxa"/>
              <w:right w:w="80" w:type="dxa"/>
            </w:tcMar>
            <w:vAlign w:val="center"/>
          </w:tcPr>
          <w:p w14:paraId="6465B9A5" w14:textId="77777777" w:rsidR="00BF6F95" w:rsidRPr="00BE3741" w:rsidRDefault="00BF6F95">
            <w:pPr>
              <w:suppressAutoHyphens/>
              <w:autoSpaceDE w:val="0"/>
              <w:autoSpaceDN w:val="0"/>
              <w:adjustRightInd w:val="0"/>
              <w:spacing w:after="0" w:line="240" w:lineRule="auto"/>
              <w:ind w:left="-705" w:firstLine="705"/>
              <w:contextualSpacing/>
              <w:textAlignment w:val="center"/>
              <w:rPr>
                <w:rFonts w:cstheme="minorHAnsi"/>
                <w:color w:val="000000"/>
              </w:rPr>
            </w:pPr>
            <w:r w:rsidRPr="00BE3741">
              <w:rPr>
                <w:rFonts w:cstheme="minorHAnsi"/>
                <w:b/>
                <w:bCs/>
                <w:color w:val="FFFFFF"/>
              </w:rPr>
              <w:t>Probability</w:t>
            </w:r>
          </w:p>
        </w:tc>
        <w:tc>
          <w:tcPr>
            <w:tcW w:w="6254" w:type="dxa"/>
            <w:gridSpan w:val="5"/>
            <w:tcBorders>
              <w:top w:val="single" w:sz="8" w:space="0" w:color="FFFFFF"/>
              <w:left w:val="single" w:sz="8" w:space="0" w:color="FFFFFF"/>
              <w:bottom w:val="single" w:sz="8" w:space="0" w:color="FFFFFF"/>
              <w:right w:val="single" w:sz="8" w:space="0" w:color="FFFFFF"/>
            </w:tcBorders>
            <w:shd w:val="solid" w:color="11713F" w:fill="auto"/>
            <w:tcMar>
              <w:top w:w="80" w:type="dxa"/>
              <w:left w:w="80" w:type="dxa"/>
              <w:bottom w:w="80" w:type="dxa"/>
              <w:right w:w="80" w:type="dxa"/>
            </w:tcMar>
          </w:tcPr>
          <w:p w14:paraId="2D8FE51B" w14:textId="77777777" w:rsidR="00BF6F95" w:rsidRPr="00BE3741" w:rsidRDefault="00BF6F95">
            <w:pPr>
              <w:suppressAutoHyphens/>
              <w:autoSpaceDE w:val="0"/>
              <w:autoSpaceDN w:val="0"/>
              <w:adjustRightInd w:val="0"/>
              <w:spacing w:after="0" w:line="240" w:lineRule="auto"/>
              <w:ind w:left="-705" w:firstLine="705"/>
              <w:contextualSpacing/>
              <w:jc w:val="center"/>
              <w:textAlignment w:val="center"/>
              <w:rPr>
                <w:rFonts w:cstheme="minorHAnsi"/>
                <w:color w:val="000000"/>
              </w:rPr>
            </w:pPr>
            <w:r w:rsidRPr="00BE3741">
              <w:rPr>
                <w:rFonts w:cstheme="minorHAnsi"/>
                <w:b/>
                <w:bCs/>
                <w:color w:val="FFFFFF"/>
              </w:rPr>
              <w:t>Potential Impact</w:t>
            </w:r>
          </w:p>
        </w:tc>
        <w:tc>
          <w:tcPr>
            <w:tcW w:w="936" w:type="dxa"/>
            <w:vMerge w:val="restart"/>
            <w:tcBorders>
              <w:top w:val="single" w:sz="8" w:space="0" w:color="FFFFFF"/>
              <w:left w:val="single" w:sz="8" w:space="0" w:color="FFFFFF"/>
              <w:bottom w:val="single" w:sz="8" w:space="0" w:color="FFFFFF"/>
              <w:right w:val="single" w:sz="8" w:space="0" w:color="FFFFFF"/>
            </w:tcBorders>
            <w:shd w:val="solid" w:color="11713F" w:fill="auto"/>
            <w:tcMar>
              <w:top w:w="80" w:type="dxa"/>
              <w:left w:w="80" w:type="dxa"/>
              <w:bottom w:w="80" w:type="dxa"/>
              <w:right w:w="80" w:type="dxa"/>
            </w:tcMar>
            <w:vAlign w:val="center"/>
          </w:tcPr>
          <w:p w14:paraId="04550172" w14:textId="77777777" w:rsidR="00BF6F95" w:rsidRPr="00BE3741" w:rsidRDefault="00BF6F95">
            <w:pPr>
              <w:suppressAutoHyphens/>
              <w:autoSpaceDE w:val="0"/>
              <w:autoSpaceDN w:val="0"/>
              <w:adjustRightInd w:val="0"/>
              <w:spacing w:after="0" w:line="240" w:lineRule="auto"/>
              <w:ind w:left="-705" w:firstLine="705"/>
              <w:contextualSpacing/>
              <w:textAlignment w:val="center"/>
              <w:rPr>
                <w:rFonts w:cstheme="minorHAnsi"/>
                <w:color w:val="000000"/>
              </w:rPr>
            </w:pPr>
            <w:r w:rsidRPr="00BE3741">
              <w:rPr>
                <w:rFonts w:cstheme="minorHAnsi"/>
                <w:b/>
                <w:bCs/>
                <w:color w:val="FFFFFF"/>
              </w:rPr>
              <w:t>Score*:</w:t>
            </w:r>
          </w:p>
        </w:tc>
      </w:tr>
      <w:tr w:rsidR="00BF6F95" w:rsidRPr="00BE3741" w14:paraId="28BCA561" w14:textId="77777777">
        <w:trPr>
          <w:trHeight w:val="20"/>
        </w:trPr>
        <w:tc>
          <w:tcPr>
            <w:tcW w:w="2265" w:type="dxa"/>
            <w:vMerge/>
            <w:tcBorders>
              <w:top w:val="single" w:sz="8" w:space="0" w:color="FFFFFF"/>
              <w:left w:val="single" w:sz="8" w:space="0" w:color="FFFFFF"/>
              <w:bottom w:val="single" w:sz="8" w:space="0" w:color="FFFFFF"/>
              <w:right w:val="single" w:sz="8" w:space="0" w:color="FFFFFF"/>
            </w:tcBorders>
          </w:tcPr>
          <w:p w14:paraId="4A5ED427" w14:textId="77777777" w:rsidR="00BF6F95" w:rsidRPr="00BE3741" w:rsidRDefault="00BF6F95">
            <w:pPr>
              <w:autoSpaceDE w:val="0"/>
              <w:autoSpaceDN w:val="0"/>
              <w:adjustRightInd w:val="0"/>
              <w:spacing w:after="0" w:line="240" w:lineRule="auto"/>
              <w:ind w:left="-705" w:firstLine="705"/>
              <w:contextualSpacing/>
              <w:rPr>
                <w:rFonts w:cstheme="minorHAnsi"/>
              </w:rPr>
            </w:pPr>
          </w:p>
        </w:tc>
        <w:tc>
          <w:tcPr>
            <w:tcW w:w="1325" w:type="dxa"/>
            <w:vMerge/>
            <w:tcBorders>
              <w:top w:val="single" w:sz="8" w:space="0" w:color="FFFFFF"/>
              <w:left w:val="single" w:sz="8" w:space="0" w:color="FFFFFF"/>
              <w:bottom w:val="single" w:sz="8" w:space="0" w:color="FFFFFF"/>
              <w:right w:val="single" w:sz="8" w:space="0" w:color="FFFFFF"/>
            </w:tcBorders>
          </w:tcPr>
          <w:p w14:paraId="32FDB376" w14:textId="77777777" w:rsidR="00BF6F95" w:rsidRPr="00BE3741" w:rsidRDefault="00BF6F95">
            <w:pPr>
              <w:autoSpaceDE w:val="0"/>
              <w:autoSpaceDN w:val="0"/>
              <w:adjustRightInd w:val="0"/>
              <w:spacing w:after="0" w:line="240" w:lineRule="auto"/>
              <w:ind w:left="-705" w:firstLine="705"/>
              <w:contextualSpacing/>
              <w:rPr>
                <w:rFonts w:cstheme="minorHAnsi"/>
              </w:rPr>
            </w:pPr>
          </w:p>
        </w:tc>
        <w:tc>
          <w:tcPr>
            <w:tcW w:w="1440" w:type="dxa"/>
            <w:tcBorders>
              <w:top w:val="single" w:sz="8" w:space="0" w:color="FFFFFF"/>
              <w:left w:val="single" w:sz="8" w:space="0" w:color="FFFFFF"/>
              <w:bottom w:val="single" w:sz="8" w:space="0" w:color="FFFFFF"/>
              <w:right w:val="single" w:sz="8" w:space="0" w:color="FFFFFF"/>
            </w:tcBorders>
            <w:shd w:val="solid" w:color="11713F" w:fill="auto"/>
            <w:tcMar>
              <w:top w:w="80" w:type="dxa"/>
              <w:left w:w="80" w:type="dxa"/>
              <w:bottom w:w="80" w:type="dxa"/>
              <w:right w:w="80" w:type="dxa"/>
            </w:tcMar>
          </w:tcPr>
          <w:p w14:paraId="49DA80CC" w14:textId="77777777" w:rsidR="00BF6F95" w:rsidRDefault="00BF6F95">
            <w:pPr>
              <w:suppressAutoHyphens/>
              <w:autoSpaceDE w:val="0"/>
              <w:autoSpaceDN w:val="0"/>
              <w:adjustRightInd w:val="0"/>
              <w:spacing w:after="0" w:line="240" w:lineRule="auto"/>
              <w:ind w:left="-705" w:firstLine="705"/>
              <w:contextualSpacing/>
              <w:textAlignment w:val="center"/>
              <w:rPr>
                <w:rFonts w:cstheme="minorHAnsi"/>
                <w:color w:val="FFFFFF"/>
              </w:rPr>
            </w:pPr>
            <w:r>
              <w:rPr>
                <w:rFonts w:cstheme="minorHAnsi"/>
                <w:color w:val="FFFFFF"/>
              </w:rPr>
              <w:t xml:space="preserve">Built </w:t>
            </w:r>
          </w:p>
          <w:p w14:paraId="5E8BDE29" w14:textId="77777777" w:rsidR="00BF6F95" w:rsidRPr="00BE3741" w:rsidRDefault="00BF6F95">
            <w:pPr>
              <w:suppressAutoHyphens/>
              <w:autoSpaceDE w:val="0"/>
              <w:autoSpaceDN w:val="0"/>
              <w:adjustRightInd w:val="0"/>
              <w:spacing w:after="0" w:line="240" w:lineRule="auto"/>
              <w:ind w:left="-705" w:firstLine="705"/>
              <w:contextualSpacing/>
              <w:textAlignment w:val="center"/>
              <w:rPr>
                <w:rFonts w:cstheme="minorHAnsi"/>
                <w:color w:val="000000"/>
              </w:rPr>
            </w:pPr>
            <w:r>
              <w:rPr>
                <w:rFonts w:cstheme="minorHAnsi"/>
                <w:color w:val="FFFFFF"/>
              </w:rPr>
              <w:t>Environment</w:t>
            </w:r>
          </w:p>
        </w:tc>
        <w:tc>
          <w:tcPr>
            <w:tcW w:w="1037" w:type="dxa"/>
            <w:tcBorders>
              <w:top w:val="single" w:sz="8" w:space="0" w:color="FFFFFF"/>
              <w:left w:val="single" w:sz="8" w:space="0" w:color="FFFFFF"/>
              <w:bottom w:val="single" w:sz="8" w:space="0" w:color="FFFFFF"/>
              <w:right w:val="single" w:sz="8" w:space="0" w:color="FFFFFF"/>
            </w:tcBorders>
            <w:shd w:val="solid" w:color="11713F" w:fill="auto"/>
            <w:tcMar>
              <w:top w:w="80" w:type="dxa"/>
              <w:left w:w="80" w:type="dxa"/>
              <w:bottom w:w="80" w:type="dxa"/>
              <w:right w:w="80" w:type="dxa"/>
            </w:tcMar>
          </w:tcPr>
          <w:p w14:paraId="36D6B2BF" w14:textId="77777777" w:rsidR="00BF6F95" w:rsidRPr="00BE3741" w:rsidRDefault="00BF6F95">
            <w:pPr>
              <w:suppressAutoHyphens/>
              <w:autoSpaceDE w:val="0"/>
              <w:autoSpaceDN w:val="0"/>
              <w:adjustRightInd w:val="0"/>
              <w:spacing w:after="0" w:line="240" w:lineRule="auto"/>
              <w:ind w:left="-705" w:firstLine="705"/>
              <w:contextualSpacing/>
              <w:textAlignment w:val="center"/>
              <w:rPr>
                <w:rFonts w:cstheme="minorHAnsi"/>
                <w:color w:val="000000"/>
              </w:rPr>
            </w:pPr>
            <w:r>
              <w:rPr>
                <w:rFonts w:cstheme="minorHAnsi"/>
                <w:color w:val="FFFFFF"/>
              </w:rPr>
              <w:t>People</w:t>
            </w:r>
          </w:p>
        </w:tc>
        <w:tc>
          <w:tcPr>
            <w:tcW w:w="1181" w:type="dxa"/>
            <w:tcBorders>
              <w:top w:val="single" w:sz="8" w:space="0" w:color="FFFFFF"/>
              <w:left w:val="single" w:sz="8" w:space="0" w:color="FFFFFF"/>
              <w:bottom w:val="single" w:sz="8" w:space="0" w:color="FFFFFF"/>
              <w:right w:val="single" w:sz="8" w:space="0" w:color="FFFFFF"/>
            </w:tcBorders>
            <w:shd w:val="solid" w:color="11713F" w:fill="auto"/>
            <w:tcMar>
              <w:top w:w="80" w:type="dxa"/>
              <w:left w:w="80" w:type="dxa"/>
              <w:bottom w:w="80" w:type="dxa"/>
              <w:right w:w="80" w:type="dxa"/>
            </w:tcMar>
          </w:tcPr>
          <w:p w14:paraId="659419C8" w14:textId="77777777" w:rsidR="00BF6F95" w:rsidRPr="00BE3741" w:rsidRDefault="00BF6F95">
            <w:pPr>
              <w:suppressAutoHyphens/>
              <w:autoSpaceDE w:val="0"/>
              <w:autoSpaceDN w:val="0"/>
              <w:adjustRightInd w:val="0"/>
              <w:spacing w:after="0" w:line="240" w:lineRule="auto"/>
              <w:ind w:left="-705" w:firstLine="705"/>
              <w:contextualSpacing/>
              <w:textAlignment w:val="center"/>
              <w:rPr>
                <w:rFonts w:cstheme="minorHAnsi"/>
                <w:color w:val="000000"/>
              </w:rPr>
            </w:pPr>
            <w:r w:rsidRPr="00BE3741">
              <w:rPr>
                <w:rFonts w:cstheme="minorHAnsi"/>
                <w:color w:val="FFFFFF"/>
              </w:rPr>
              <w:t>Economy</w:t>
            </w:r>
          </w:p>
        </w:tc>
        <w:tc>
          <w:tcPr>
            <w:tcW w:w="1497" w:type="dxa"/>
            <w:tcBorders>
              <w:top w:val="single" w:sz="8" w:space="0" w:color="FFFFFF"/>
              <w:left w:val="single" w:sz="8" w:space="0" w:color="FFFFFF"/>
              <w:bottom w:val="single" w:sz="8" w:space="0" w:color="FFFFFF"/>
              <w:right w:val="single" w:sz="8" w:space="0" w:color="FFFFFF"/>
            </w:tcBorders>
            <w:shd w:val="solid" w:color="11713F" w:fill="auto"/>
            <w:tcMar>
              <w:top w:w="80" w:type="dxa"/>
              <w:left w:w="80" w:type="dxa"/>
              <w:bottom w:w="80" w:type="dxa"/>
              <w:right w:w="80" w:type="dxa"/>
            </w:tcMar>
          </w:tcPr>
          <w:p w14:paraId="7DAE0A09" w14:textId="77777777" w:rsidR="00BF6F95" w:rsidRDefault="00BF6F95">
            <w:pPr>
              <w:suppressAutoHyphens/>
              <w:autoSpaceDE w:val="0"/>
              <w:autoSpaceDN w:val="0"/>
              <w:adjustRightInd w:val="0"/>
              <w:spacing w:after="0" w:line="240" w:lineRule="auto"/>
              <w:ind w:left="-705" w:firstLine="705"/>
              <w:contextualSpacing/>
              <w:textAlignment w:val="center"/>
              <w:rPr>
                <w:rFonts w:cstheme="minorHAnsi"/>
                <w:color w:val="FFFFFF"/>
              </w:rPr>
            </w:pPr>
            <w:r>
              <w:rPr>
                <w:rFonts w:cstheme="minorHAnsi"/>
                <w:color w:val="FFFFFF"/>
              </w:rPr>
              <w:t xml:space="preserve">Natural </w:t>
            </w:r>
          </w:p>
          <w:p w14:paraId="18C3E931" w14:textId="77777777" w:rsidR="00BF6F95" w:rsidRPr="00BE3741" w:rsidRDefault="00BF6F95">
            <w:pPr>
              <w:suppressAutoHyphens/>
              <w:autoSpaceDE w:val="0"/>
              <w:autoSpaceDN w:val="0"/>
              <w:adjustRightInd w:val="0"/>
              <w:spacing w:after="0" w:line="240" w:lineRule="auto"/>
              <w:ind w:left="-705" w:firstLine="705"/>
              <w:contextualSpacing/>
              <w:textAlignment w:val="center"/>
              <w:rPr>
                <w:rFonts w:cstheme="minorHAnsi"/>
                <w:color w:val="000000"/>
              </w:rPr>
            </w:pPr>
            <w:r>
              <w:rPr>
                <w:rFonts w:cstheme="minorHAnsi"/>
                <w:color w:val="FFFFFF"/>
              </w:rPr>
              <w:t>Environment</w:t>
            </w:r>
          </w:p>
        </w:tc>
        <w:tc>
          <w:tcPr>
            <w:tcW w:w="1099" w:type="dxa"/>
            <w:tcBorders>
              <w:top w:val="single" w:sz="8" w:space="0" w:color="FFFFFF"/>
              <w:left w:val="single" w:sz="8" w:space="0" w:color="FFFFFF"/>
              <w:bottom w:val="single" w:sz="8" w:space="0" w:color="FFFFFF"/>
              <w:right w:val="single" w:sz="8" w:space="0" w:color="FFFFFF"/>
            </w:tcBorders>
            <w:shd w:val="solid" w:color="11713F" w:fill="auto"/>
            <w:tcMar>
              <w:top w:w="80" w:type="dxa"/>
              <w:left w:w="80" w:type="dxa"/>
              <w:bottom w:w="80" w:type="dxa"/>
              <w:right w:w="80" w:type="dxa"/>
            </w:tcMar>
          </w:tcPr>
          <w:p w14:paraId="2ED5C243" w14:textId="77777777" w:rsidR="00BF6F95" w:rsidRPr="00BE3741" w:rsidRDefault="00BF6F95">
            <w:pPr>
              <w:suppressAutoHyphens/>
              <w:autoSpaceDE w:val="0"/>
              <w:autoSpaceDN w:val="0"/>
              <w:adjustRightInd w:val="0"/>
              <w:spacing w:after="0" w:line="240" w:lineRule="auto"/>
              <w:ind w:left="-705" w:firstLine="705"/>
              <w:contextualSpacing/>
              <w:textAlignment w:val="center"/>
              <w:rPr>
                <w:rFonts w:cstheme="minorHAnsi"/>
                <w:color w:val="000000"/>
              </w:rPr>
            </w:pPr>
            <w:r w:rsidRPr="00BE3741">
              <w:rPr>
                <w:rFonts w:cstheme="minorHAnsi"/>
                <w:b/>
                <w:bCs/>
                <w:color w:val="FFFFFF"/>
                <w:u w:val="thick"/>
              </w:rPr>
              <w:t>Average</w:t>
            </w:r>
            <w:r w:rsidRPr="00BE3741">
              <w:rPr>
                <w:rFonts w:cstheme="minorHAnsi"/>
                <w:b/>
                <w:bCs/>
                <w:color w:val="FFFFFF"/>
              </w:rPr>
              <w:t xml:space="preserve">: </w:t>
            </w:r>
          </w:p>
        </w:tc>
        <w:tc>
          <w:tcPr>
            <w:tcW w:w="936" w:type="dxa"/>
            <w:vMerge/>
            <w:tcBorders>
              <w:top w:val="single" w:sz="8" w:space="0" w:color="FFFFFF"/>
              <w:left w:val="single" w:sz="8" w:space="0" w:color="FFFFFF"/>
              <w:bottom w:val="single" w:sz="8" w:space="0" w:color="FFFFFF"/>
              <w:right w:val="single" w:sz="8" w:space="0" w:color="FFFFFF"/>
            </w:tcBorders>
          </w:tcPr>
          <w:p w14:paraId="598A466D" w14:textId="77777777" w:rsidR="00BF6F95" w:rsidRPr="00BE3741" w:rsidRDefault="00BF6F95">
            <w:pPr>
              <w:autoSpaceDE w:val="0"/>
              <w:autoSpaceDN w:val="0"/>
              <w:adjustRightInd w:val="0"/>
              <w:spacing w:after="0" w:line="240" w:lineRule="auto"/>
              <w:ind w:left="-705" w:firstLine="705"/>
              <w:contextualSpacing/>
              <w:rPr>
                <w:rFonts w:cstheme="minorHAnsi"/>
              </w:rPr>
            </w:pPr>
          </w:p>
        </w:tc>
      </w:tr>
      <w:tr w:rsidR="00BF6F95" w:rsidRPr="00BE3741" w14:paraId="30845EC2" w14:textId="77777777">
        <w:trPr>
          <w:trHeight w:val="25"/>
        </w:trPr>
        <w:tc>
          <w:tcPr>
            <w:tcW w:w="2265" w:type="dxa"/>
            <w:tcBorders>
              <w:top w:val="single" w:sz="8" w:space="0" w:color="FFFFFF"/>
              <w:left w:val="single" w:sz="8" w:space="0" w:color="FFFFFF"/>
              <w:bottom w:val="single" w:sz="8" w:space="0" w:color="FFFFFF"/>
              <w:right w:val="single" w:sz="8" w:space="0" w:color="FFFFFF"/>
            </w:tcBorders>
            <w:shd w:val="solid" w:color="11713F" w:fill="auto"/>
            <w:tcMar>
              <w:top w:w="80" w:type="dxa"/>
              <w:left w:w="80" w:type="dxa"/>
              <w:bottom w:w="80" w:type="dxa"/>
              <w:right w:w="80" w:type="dxa"/>
            </w:tcMar>
          </w:tcPr>
          <w:p w14:paraId="682155A6" w14:textId="77777777" w:rsidR="00BF6F95" w:rsidRPr="00BE3741" w:rsidRDefault="00BF6F95">
            <w:pPr>
              <w:suppressAutoHyphens/>
              <w:autoSpaceDE w:val="0"/>
              <w:autoSpaceDN w:val="0"/>
              <w:adjustRightInd w:val="0"/>
              <w:spacing w:after="0" w:line="240" w:lineRule="auto"/>
              <w:ind w:left="-705" w:firstLine="705"/>
              <w:contextualSpacing/>
              <w:textAlignment w:val="center"/>
              <w:rPr>
                <w:rFonts w:cstheme="minorHAnsi"/>
                <w:color w:val="000000"/>
              </w:rPr>
            </w:pPr>
            <w:r w:rsidRPr="00BE3741">
              <w:rPr>
                <w:rFonts w:cstheme="minorHAnsi"/>
                <w:color w:val="FFFFFF"/>
              </w:rPr>
              <w:t>Fluvial Erosion</w:t>
            </w:r>
            <w:r w:rsidRPr="00BE3741">
              <w:rPr>
                <w:rFonts w:cstheme="minorHAnsi"/>
                <w:color w:val="000000"/>
              </w:rPr>
              <w:t xml:space="preserve"> </w:t>
            </w:r>
          </w:p>
        </w:tc>
        <w:tc>
          <w:tcPr>
            <w:tcW w:w="1325" w:type="dxa"/>
            <w:tcBorders>
              <w:top w:val="single" w:sz="8" w:space="0" w:color="FFFFFF"/>
              <w:left w:val="single" w:sz="8" w:space="0" w:color="FFFFFF"/>
              <w:bottom w:val="single" w:sz="8" w:space="0" w:color="FFFFFF"/>
              <w:right w:val="single" w:sz="8" w:space="0" w:color="FFFFFF"/>
            </w:tcBorders>
            <w:shd w:val="solid" w:color="84AC3E" w:fill="auto"/>
            <w:tcMar>
              <w:top w:w="80" w:type="dxa"/>
              <w:left w:w="80" w:type="dxa"/>
              <w:bottom w:w="80" w:type="dxa"/>
              <w:right w:w="80" w:type="dxa"/>
            </w:tcMar>
          </w:tcPr>
          <w:p w14:paraId="61DFB238" w14:textId="77777777" w:rsidR="00BF6F95" w:rsidRPr="00BE3741" w:rsidRDefault="00BF6F95">
            <w:pPr>
              <w:suppressAutoHyphens/>
              <w:autoSpaceDE w:val="0"/>
              <w:autoSpaceDN w:val="0"/>
              <w:adjustRightInd w:val="0"/>
              <w:spacing w:after="0" w:line="240" w:lineRule="auto"/>
              <w:ind w:left="-705" w:firstLine="705"/>
              <w:contextualSpacing/>
              <w:textAlignment w:val="center"/>
              <w:rPr>
                <w:rFonts w:cstheme="minorHAnsi"/>
                <w:color w:val="000000"/>
              </w:rPr>
            </w:pPr>
            <w:r w:rsidRPr="00BE3741">
              <w:rPr>
                <w:rFonts w:cstheme="minorHAnsi"/>
                <w:color w:val="000000"/>
              </w:rPr>
              <w:t>4</w:t>
            </w:r>
          </w:p>
        </w:tc>
        <w:tc>
          <w:tcPr>
            <w:tcW w:w="1440" w:type="dxa"/>
            <w:tcBorders>
              <w:top w:val="single" w:sz="8" w:space="0" w:color="FFFFFF"/>
              <w:left w:val="single" w:sz="8" w:space="0" w:color="FFFFFF"/>
              <w:bottom w:val="single" w:sz="8" w:space="0" w:color="FFFFFF"/>
              <w:right w:val="single" w:sz="8" w:space="0" w:color="FFFFFF"/>
            </w:tcBorders>
            <w:shd w:val="solid" w:color="84AC3E" w:fill="auto"/>
            <w:tcMar>
              <w:top w:w="80" w:type="dxa"/>
              <w:left w:w="80" w:type="dxa"/>
              <w:bottom w:w="80" w:type="dxa"/>
              <w:right w:w="80" w:type="dxa"/>
            </w:tcMar>
          </w:tcPr>
          <w:p w14:paraId="5DC50448" w14:textId="77777777" w:rsidR="00BF6F95" w:rsidRPr="00BE3741" w:rsidRDefault="00BF6F95">
            <w:pPr>
              <w:suppressAutoHyphens/>
              <w:autoSpaceDE w:val="0"/>
              <w:autoSpaceDN w:val="0"/>
              <w:adjustRightInd w:val="0"/>
              <w:spacing w:after="0" w:line="240" w:lineRule="auto"/>
              <w:ind w:left="-705" w:firstLine="705"/>
              <w:contextualSpacing/>
              <w:textAlignment w:val="center"/>
              <w:rPr>
                <w:rFonts w:cstheme="minorHAnsi"/>
                <w:color w:val="000000"/>
              </w:rPr>
            </w:pPr>
            <w:r w:rsidRPr="00BE3741">
              <w:rPr>
                <w:rFonts w:cstheme="minorHAnsi"/>
                <w:color w:val="000000"/>
              </w:rPr>
              <w:t>4</w:t>
            </w:r>
          </w:p>
        </w:tc>
        <w:tc>
          <w:tcPr>
            <w:tcW w:w="1037" w:type="dxa"/>
            <w:tcBorders>
              <w:top w:val="single" w:sz="8" w:space="0" w:color="FFFFFF"/>
              <w:left w:val="single" w:sz="8" w:space="0" w:color="FFFFFF"/>
              <w:bottom w:val="single" w:sz="8" w:space="0" w:color="FFFFFF"/>
              <w:right w:val="single" w:sz="8" w:space="0" w:color="FFFFFF"/>
            </w:tcBorders>
            <w:shd w:val="solid" w:color="84AC3E" w:fill="auto"/>
            <w:tcMar>
              <w:top w:w="80" w:type="dxa"/>
              <w:left w:w="80" w:type="dxa"/>
              <w:bottom w:w="80" w:type="dxa"/>
              <w:right w:w="80" w:type="dxa"/>
            </w:tcMar>
          </w:tcPr>
          <w:p w14:paraId="6A42143F" w14:textId="77777777" w:rsidR="00BF6F95" w:rsidRPr="00BE3741" w:rsidRDefault="00BF6F95">
            <w:pPr>
              <w:suppressAutoHyphens/>
              <w:autoSpaceDE w:val="0"/>
              <w:autoSpaceDN w:val="0"/>
              <w:adjustRightInd w:val="0"/>
              <w:spacing w:after="0" w:line="240" w:lineRule="auto"/>
              <w:ind w:left="-705" w:firstLine="705"/>
              <w:contextualSpacing/>
              <w:textAlignment w:val="center"/>
              <w:rPr>
                <w:rFonts w:cstheme="minorHAnsi"/>
                <w:color w:val="000000"/>
              </w:rPr>
            </w:pPr>
            <w:r>
              <w:rPr>
                <w:rFonts w:cstheme="minorHAnsi"/>
                <w:color w:val="000000"/>
              </w:rPr>
              <w:t>4</w:t>
            </w:r>
          </w:p>
        </w:tc>
        <w:tc>
          <w:tcPr>
            <w:tcW w:w="1181" w:type="dxa"/>
            <w:tcBorders>
              <w:top w:val="single" w:sz="8" w:space="0" w:color="FFFFFF"/>
              <w:left w:val="single" w:sz="8" w:space="0" w:color="FFFFFF"/>
              <w:bottom w:val="single" w:sz="8" w:space="0" w:color="FFFFFF"/>
              <w:right w:val="single" w:sz="8" w:space="0" w:color="FFFFFF"/>
            </w:tcBorders>
            <w:shd w:val="solid" w:color="84AC3E" w:fill="auto"/>
            <w:tcMar>
              <w:top w:w="80" w:type="dxa"/>
              <w:left w:w="80" w:type="dxa"/>
              <w:bottom w:w="80" w:type="dxa"/>
              <w:right w:w="80" w:type="dxa"/>
            </w:tcMar>
          </w:tcPr>
          <w:p w14:paraId="040FA9C7" w14:textId="77777777" w:rsidR="00BF6F95" w:rsidRPr="00BE3741" w:rsidRDefault="00BF6F95">
            <w:pPr>
              <w:suppressAutoHyphens/>
              <w:autoSpaceDE w:val="0"/>
              <w:autoSpaceDN w:val="0"/>
              <w:adjustRightInd w:val="0"/>
              <w:spacing w:after="0" w:line="240" w:lineRule="auto"/>
              <w:ind w:left="-705" w:firstLine="705"/>
              <w:contextualSpacing/>
              <w:textAlignment w:val="center"/>
              <w:rPr>
                <w:rFonts w:cstheme="minorHAnsi"/>
                <w:color w:val="000000"/>
              </w:rPr>
            </w:pPr>
            <w:r w:rsidRPr="00BE3741">
              <w:rPr>
                <w:rFonts w:cstheme="minorHAnsi"/>
                <w:color w:val="000000"/>
              </w:rPr>
              <w:t>4</w:t>
            </w:r>
          </w:p>
        </w:tc>
        <w:tc>
          <w:tcPr>
            <w:tcW w:w="1497" w:type="dxa"/>
            <w:tcBorders>
              <w:top w:val="single" w:sz="8" w:space="0" w:color="FFFFFF"/>
              <w:left w:val="single" w:sz="8" w:space="0" w:color="FFFFFF"/>
              <w:bottom w:val="single" w:sz="8" w:space="0" w:color="FFFFFF"/>
              <w:right w:val="single" w:sz="8" w:space="0" w:color="FFFFFF"/>
            </w:tcBorders>
            <w:shd w:val="solid" w:color="84AC3E" w:fill="auto"/>
            <w:tcMar>
              <w:top w:w="80" w:type="dxa"/>
              <w:left w:w="80" w:type="dxa"/>
              <w:bottom w:w="80" w:type="dxa"/>
              <w:right w:w="80" w:type="dxa"/>
            </w:tcMar>
          </w:tcPr>
          <w:p w14:paraId="67F0F88E" w14:textId="77777777" w:rsidR="00BF6F95" w:rsidRPr="00BE3741" w:rsidRDefault="00BF6F95">
            <w:pPr>
              <w:suppressAutoHyphens/>
              <w:autoSpaceDE w:val="0"/>
              <w:autoSpaceDN w:val="0"/>
              <w:adjustRightInd w:val="0"/>
              <w:spacing w:after="0" w:line="240" w:lineRule="auto"/>
              <w:ind w:left="-705" w:firstLine="705"/>
              <w:contextualSpacing/>
              <w:textAlignment w:val="center"/>
              <w:rPr>
                <w:rFonts w:cstheme="minorHAnsi"/>
                <w:color w:val="000000"/>
              </w:rPr>
            </w:pPr>
            <w:r w:rsidRPr="00BE3741">
              <w:rPr>
                <w:rFonts w:cstheme="minorHAnsi"/>
                <w:color w:val="000000"/>
              </w:rPr>
              <w:t>4</w:t>
            </w:r>
          </w:p>
        </w:tc>
        <w:tc>
          <w:tcPr>
            <w:tcW w:w="1099" w:type="dxa"/>
            <w:tcBorders>
              <w:top w:val="single" w:sz="8" w:space="0" w:color="FFFFFF"/>
              <w:left w:val="single" w:sz="8" w:space="0" w:color="FFFFFF"/>
              <w:bottom w:val="single" w:sz="8" w:space="0" w:color="FFFFFF"/>
              <w:right w:val="single" w:sz="8" w:space="0" w:color="FFFFFF"/>
            </w:tcBorders>
            <w:shd w:val="solid" w:color="84AC3E" w:fill="auto"/>
            <w:tcMar>
              <w:top w:w="80" w:type="dxa"/>
              <w:left w:w="80" w:type="dxa"/>
              <w:bottom w:w="80" w:type="dxa"/>
              <w:right w:w="80" w:type="dxa"/>
            </w:tcMar>
          </w:tcPr>
          <w:p w14:paraId="227C4172" w14:textId="77777777" w:rsidR="00BF6F95" w:rsidRPr="00BE3741" w:rsidRDefault="00BF6F95">
            <w:pPr>
              <w:suppressAutoHyphens/>
              <w:autoSpaceDE w:val="0"/>
              <w:autoSpaceDN w:val="0"/>
              <w:adjustRightInd w:val="0"/>
              <w:spacing w:after="0" w:line="240" w:lineRule="auto"/>
              <w:ind w:left="-705" w:firstLine="705"/>
              <w:contextualSpacing/>
              <w:textAlignment w:val="center"/>
              <w:rPr>
                <w:rFonts w:cstheme="minorHAnsi"/>
                <w:color w:val="000000"/>
              </w:rPr>
            </w:pPr>
            <w:r>
              <w:rPr>
                <w:rFonts w:cstheme="minorHAnsi"/>
                <w:color w:val="000000"/>
              </w:rPr>
              <w:t>4</w:t>
            </w:r>
          </w:p>
        </w:tc>
        <w:tc>
          <w:tcPr>
            <w:tcW w:w="936" w:type="dxa"/>
            <w:tcBorders>
              <w:top w:val="single" w:sz="8" w:space="0" w:color="FFFFFF"/>
              <w:left w:val="single" w:sz="8" w:space="0" w:color="FFFFFF"/>
              <w:bottom w:val="single" w:sz="8" w:space="0" w:color="FFFFFF"/>
              <w:right w:val="single" w:sz="8" w:space="0" w:color="FFFFFF"/>
            </w:tcBorders>
            <w:shd w:val="solid" w:color="84AC3E" w:fill="auto"/>
            <w:tcMar>
              <w:top w:w="80" w:type="dxa"/>
              <w:left w:w="80" w:type="dxa"/>
              <w:bottom w:w="80" w:type="dxa"/>
              <w:right w:w="80" w:type="dxa"/>
            </w:tcMar>
          </w:tcPr>
          <w:p w14:paraId="13E76E6F" w14:textId="77777777" w:rsidR="00BF6F95" w:rsidRPr="00BE3741" w:rsidRDefault="00BF6F95">
            <w:pPr>
              <w:suppressAutoHyphens/>
              <w:autoSpaceDE w:val="0"/>
              <w:autoSpaceDN w:val="0"/>
              <w:adjustRightInd w:val="0"/>
              <w:spacing w:after="0" w:line="240" w:lineRule="auto"/>
              <w:ind w:left="-705" w:firstLine="705"/>
              <w:contextualSpacing/>
              <w:textAlignment w:val="center"/>
              <w:rPr>
                <w:rFonts w:cstheme="minorHAnsi"/>
                <w:color w:val="000000"/>
              </w:rPr>
            </w:pPr>
            <w:r w:rsidRPr="00BE3741">
              <w:rPr>
                <w:rFonts w:cstheme="minorHAnsi"/>
                <w:color w:val="000000"/>
              </w:rPr>
              <w:t>1</w:t>
            </w:r>
            <w:r>
              <w:rPr>
                <w:rFonts w:cstheme="minorHAnsi"/>
                <w:color w:val="000000"/>
              </w:rPr>
              <w:t>6</w:t>
            </w:r>
          </w:p>
        </w:tc>
      </w:tr>
      <w:tr w:rsidR="00BF6F95" w:rsidRPr="00BE3741" w14:paraId="1C81240E" w14:textId="77777777">
        <w:trPr>
          <w:trHeight w:val="25"/>
        </w:trPr>
        <w:tc>
          <w:tcPr>
            <w:tcW w:w="2265" w:type="dxa"/>
            <w:tcBorders>
              <w:top w:val="single" w:sz="8" w:space="0" w:color="FFFFFF"/>
              <w:left w:val="single" w:sz="8" w:space="0" w:color="FFFFFF"/>
              <w:bottom w:val="single" w:sz="8" w:space="0" w:color="FFFFFF"/>
              <w:right w:val="single" w:sz="8" w:space="0" w:color="FFFFFF"/>
            </w:tcBorders>
            <w:shd w:val="solid" w:color="11713F" w:fill="auto"/>
            <w:tcMar>
              <w:top w:w="80" w:type="dxa"/>
              <w:left w:w="80" w:type="dxa"/>
              <w:bottom w:w="80" w:type="dxa"/>
              <w:right w:w="80" w:type="dxa"/>
            </w:tcMar>
          </w:tcPr>
          <w:p w14:paraId="6134086C" w14:textId="77777777" w:rsidR="00BF6F95" w:rsidRPr="00BE3741" w:rsidRDefault="00BF6F95">
            <w:pPr>
              <w:suppressAutoHyphens/>
              <w:autoSpaceDE w:val="0"/>
              <w:autoSpaceDN w:val="0"/>
              <w:adjustRightInd w:val="0"/>
              <w:spacing w:after="0" w:line="240" w:lineRule="auto"/>
              <w:ind w:left="-705" w:firstLine="705"/>
              <w:contextualSpacing/>
              <w:textAlignment w:val="center"/>
              <w:rPr>
                <w:rFonts w:cstheme="minorHAnsi"/>
                <w:color w:val="000000"/>
              </w:rPr>
            </w:pPr>
            <w:r w:rsidRPr="00BE3741">
              <w:rPr>
                <w:rFonts w:cstheme="minorHAnsi"/>
                <w:color w:val="FFFFFF"/>
              </w:rPr>
              <w:t>Inundation Flooding</w:t>
            </w:r>
          </w:p>
        </w:tc>
        <w:tc>
          <w:tcPr>
            <w:tcW w:w="1325" w:type="dxa"/>
            <w:tcBorders>
              <w:top w:val="single" w:sz="8" w:space="0" w:color="FFFFFF"/>
              <w:left w:val="single" w:sz="8" w:space="0" w:color="FFFFFF"/>
              <w:bottom w:val="single" w:sz="8" w:space="0" w:color="FFFFFF"/>
              <w:right w:val="single" w:sz="8" w:space="0" w:color="FFFFFF"/>
            </w:tcBorders>
            <w:shd w:val="solid" w:color="84AC3E" w:fill="auto"/>
            <w:tcMar>
              <w:top w:w="80" w:type="dxa"/>
              <w:left w:w="80" w:type="dxa"/>
              <w:bottom w:w="80" w:type="dxa"/>
              <w:right w:w="80" w:type="dxa"/>
            </w:tcMar>
          </w:tcPr>
          <w:p w14:paraId="2434102C" w14:textId="77777777" w:rsidR="00BF6F95" w:rsidRPr="00BE3741" w:rsidRDefault="00BF6F95">
            <w:pPr>
              <w:suppressAutoHyphens/>
              <w:autoSpaceDE w:val="0"/>
              <w:autoSpaceDN w:val="0"/>
              <w:adjustRightInd w:val="0"/>
              <w:spacing w:after="0" w:line="240" w:lineRule="auto"/>
              <w:ind w:left="-705" w:firstLine="705"/>
              <w:contextualSpacing/>
              <w:textAlignment w:val="center"/>
              <w:rPr>
                <w:rFonts w:cstheme="minorHAnsi"/>
                <w:color w:val="000000"/>
              </w:rPr>
            </w:pPr>
            <w:r w:rsidRPr="00BE3741">
              <w:rPr>
                <w:rFonts w:cstheme="minorHAnsi"/>
                <w:color w:val="000000"/>
              </w:rPr>
              <w:t>4</w:t>
            </w:r>
          </w:p>
        </w:tc>
        <w:tc>
          <w:tcPr>
            <w:tcW w:w="1440" w:type="dxa"/>
            <w:tcBorders>
              <w:top w:val="single" w:sz="8" w:space="0" w:color="FFFFFF"/>
              <w:left w:val="single" w:sz="8" w:space="0" w:color="FFFFFF"/>
              <w:bottom w:val="single" w:sz="8" w:space="0" w:color="FFFFFF"/>
              <w:right w:val="single" w:sz="8" w:space="0" w:color="FFFFFF"/>
            </w:tcBorders>
            <w:shd w:val="solid" w:color="84AC3E" w:fill="auto"/>
            <w:tcMar>
              <w:top w:w="80" w:type="dxa"/>
              <w:left w:w="80" w:type="dxa"/>
              <w:bottom w:w="80" w:type="dxa"/>
              <w:right w:w="80" w:type="dxa"/>
            </w:tcMar>
          </w:tcPr>
          <w:p w14:paraId="7C5D21E7" w14:textId="77777777" w:rsidR="00BF6F95" w:rsidRPr="00BE3741" w:rsidRDefault="00BF6F95">
            <w:pPr>
              <w:suppressAutoHyphens/>
              <w:autoSpaceDE w:val="0"/>
              <w:autoSpaceDN w:val="0"/>
              <w:adjustRightInd w:val="0"/>
              <w:spacing w:after="0" w:line="240" w:lineRule="auto"/>
              <w:ind w:left="-705" w:firstLine="705"/>
              <w:contextualSpacing/>
              <w:textAlignment w:val="center"/>
              <w:rPr>
                <w:rFonts w:cstheme="minorHAnsi"/>
                <w:color w:val="000000"/>
              </w:rPr>
            </w:pPr>
            <w:r w:rsidRPr="00BE3741">
              <w:rPr>
                <w:rFonts w:cstheme="minorHAnsi"/>
                <w:color w:val="000000"/>
              </w:rPr>
              <w:t>4</w:t>
            </w:r>
          </w:p>
        </w:tc>
        <w:tc>
          <w:tcPr>
            <w:tcW w:w="1037" w:type="dxa"/>
            <w:tcBorders>
              <w:top w:val="single" w:sz="8" w:space="0" w:color="FFFFFF"/>
              <w:left w:val="single" w:sz="8" w:space="0" w:color="FFFFFF"/>
              <w:bottom w:val="single" w:sz="8" w:space="0" w:color="FFFFFF"/>
              <w:right w:val="single" w:sz="8" w:space="0" w:color="FFFFFF"/>
            </w:tcBorders>
            <w:shd w:val="solid" w:color="84AC3E" w:fill="auto"/>
            <w:tcMar>
              <w:top w:w="80" w:type="dxa"/>
              <w:left w:w="80" w:type="dxa"/>
              <w:bottom w:w="80" w:type="dxa"/>
              <w:right w:w="80" w:type="dxa"/>
            </w:tcMar>
          </w:tcPr>
          <w:p w14:paraId="1BEA846B" w14:textId="77777777" w:rsidR="00BF6F95" w:rsidRPr="00BE3741" w:rsidRDefault="00BF6F95">
            <w:pPr>
              <w:suppressAutoHyphens/>
              <w:autoSpaceDE w:val="0"/>
              <w:autoSpaceDN w:val="0"/>
              <w:adjustRightInd w:val="0"/>
              <w:spacing w:after="0" w:line="240" w:lineRule="auto"/>
              <w:ind w:left="-705" w:firstLine="705"/>
              <w:contextualSpacing/>
              <w:textAlignment w:val="center"/>
              <w:rPr>
                <w:rFonts w:cstheme="minorHAnsi"/>
                <w:color w:val="000000"/>
              </w:rPr>
            </w:pPr>
            <w:r>
              <w:rPr>
                <w:rFonts w:cstheme="minorHAnsi"/>
                <w:color w:val="000000"/>
              </w:rPr>
              <w:t>4</w:t>
            </w:r>
          </w:p>
        </w:tc>
        <w:tc>
          <w:tcPr>
            <w:tcW w:w="1181" w:type="dxa"/>
            <w:tcBorders>
              <w:top w:val="single" w:sz="8" w:space="0" w:color="FFFFFF"/>
              <w:left w:val="single" w:sz="8" w:space="0" w:color="FFFFFF"/>
              <w:bottom w:val="single" w:sz="8" w:space="0" w:color="FFFFFF"/>
              <w:right w:val="single" w:sz="8" w:space="0" w:color="FFFFFF"/>
            </w:tcBorders>
            <w:shd w:val="solid" w:color="84AC3E" w:fill="auto"/>
            <w:tcMar>
              <w:top w:w="80" w:type="dxa"/>
              <w:left w:w="80" w:type="dxa"/>
              <w:bottom w:w="80" w:type="dxa"/>
              <w:right w:w="80" w:type="dxa"/>
            </w:tcMar>
          </w:tcPr>
          <w:p w14:paraId="0EE6CD1F" w14:textId="77777777" w:rsidR="00BF6F95" w:rsidRPr="00BE3741" w:rsidRDefault="00BF6F95">
            <w:pPr>
              <w:suppressAutoHyphens/>
              <w:autoSpaceDE w:val="0"/>
              <w:autoSpaceDN w:val="0"/>
              <w:adjustRightInd w:val="0"/>
              <w:spacing w:after="0" w:line="240" w:lineRule="auto"/>
              <w:ind w:left="-705" w:firstLine="705"/>
              <w:contextualSpacing/>
              <w:textAlignment w:val="center"/>
              <w:rPr>
                <w:rFonts w:cstheme="minorHAnsi"/>
                <w:color w:val="000000"/>
              </w:rPr>
            </w:pPr>
            <w:r w:rsidRPr="00BE3741">
              <w:rPr>
                <w:rFonts w:cstheme="minorHAnsi"/>
                <w:color w:val="000000"/>
              </w:rPr>
              <w:t>4</w:t>
            </w:r>
          </w:p>
        </w:tc>
        <w:tc>
          <w:tcPr>
            <w:tcW w:w="1497" w:type="dxa"/>
            <w:tcBorders>
              <w:top w:val="single" w:sz="8" w:space="0" w:color="FFFFFF"/>
              <w:left w:val="single" w:sz="8" w:space="0" w:color="FFFFFF"/>
              <w:bottom w:val="single" w:sz="8" w:space="0" w:color="FFFFFF"/>
              <w:right w:val="single" w:sz="8" w:space="0" w:color="FFFFFF"/>
            </w:tcBorders>
            <w:shd w:val="solid" w:color="84AC3E" w:fill="auto"/>
            <w:tcMar>
              <w:top w:w="80" w:type="dxa"/>
              <w:left w:w="80" w:type="dxa"/>
              <w:bottom w:w="80" w:type="dxa"/>
              <w:right w:w="80" w:type="dxa"/>
            </w:tcMar>
          </w:tcPr>
          <w:p w14:paraId="4757E658" w14:textId="77777777" w:rsidR="00BF6F95" w:rsidRPr="00BE3741" w:rsidRDefault="00BF6F95">
            <w:pPr>
              <w:suppressAutoHyphens/>
              <w:autoSpaceDE w:val="0"/>
              <w:autoSpaceDN w:val="0"/>
              <w:adjustRightInd w:val="0"/>
              <w:spacing w:after="0" w:line="240" w:lineRule="auto"/>
              <w:ind w:left="-705" w:firstLine="705"/>
              <w:contextualSpacing/>
              <w:textAlignment w:val="center"/>
              <w:rPr>
                <w:rFonts w:cstheme="minorHAnsi"/>
                <w:color w:val="000000"/>
              </w:rPr>
            </w:pPr>
            <w:r w:rsidRPr="00BE3741">
              <w:rPr>
                <w:rFonts w:cstheme="minorHAnsi"/>
                <w:color w:val="000000"/>
              </w:rPr>
              <w:t>2</w:t>
            </w:r>
          </w:p>
        </w:tc>
        <w:tc>
          <w:tcPr>
            <w:tcW w:w="1099" w:type="dxa"/>
            <w:tcBorders>
              <w:top w:val="single" w:sz="8" w:space="0" w:color="FFFFFF"/>
              <w:left w:val="single" w:sz="8" w:space="0" w:color="FFFFFF"/>
              <w:bottom w:val="single" w:sz="8" w:space="0" w:color="FFFFFF"/>
              <w:right w:val="single" w:sz="8" w:space="0" w:color="FFFFFF"/>
            </w:tcBorders>
            <w:shd w:val="solid" w:color="84AC3E" w:fill="auto"/>
            <w:tcMar>
              <w:top w:w="80" w:type="dxa"/>
              <w:left w:w="80" w:type="dxa"/>
              <w:bottom w:w="80" w:type="dxa"/>
              <w:right w:w="80" w:type="dxa"/>
            </w:tcMar>
          </w:tcPr>
          <w:p w14:paraId="122C8DC5" w14:textId="77777777" w:rsidR="00BF6F95" w:rsidRPr="00BE3741" w:rsidRDefault="00BF6F95">
            <w:pPr>
              <w:suppressAutoHyphens/>
              <w:autoSpaceDE w:val="0"/>
              <w:autoSpaceDN w:val="0"/>
              <w:adjustRightInd w:val="0"/>
              <w:spacing w:after="0" w:line="240" w:lineRule="auto"/>
              <w:ind w:left="-705" w:firstLine="705"/>
              <w:contextualSpacing/>
              <w:textAlignment w:val="center"/>
              <w:rPr>
                <w:rFonts w:cstheme="minorHAnsi"/>
                <w:color w:val="000000"/>
              </w:rPr>
            </w:pPr>
            <w:r w:rsidRPr="00BE3741">
              <w:rPr>
                <w:rFonts w:cstheme="minorHAnsi"/>
                <w:color w:val="000000"/>
              </w:rPr>
              <w:t>3.5</w:t>
            </w:r>
          </w:p>
        </w:tc>
        <w:tc>
          <w:tcPr>
            <w:tcW w:w="936" w:type="dxa"/>
            <w:tcBorders>
              <w:top w:val="single" w:sz="8" w:space="0" w:color="FFFFFF"/>
              <w:left w:val="single" w:sz="8" w:space="0" w:color="FFFFFF"/>
              <w:bottom w:val="single" w:sz="8" w:space="0" w:color="FFFFFF"/>
              <w:right w:val="single" w:sz="8" w:space="0" w:color="FFFFFF"/>
            </w:tcBorders>
            <w:shd w:val="solid" w:color="84AC3E" w:fill="auto"/>
            <w:tcMar>
              <w:top w:w="80" w:type="dxa"/>
              <w:left w:w="80" w:type="dxa"/>
              <w:bottom w:w="80" w:type="dxa"/>
              <w:right w:w="80" w:type="dxa"/>
            </w:tcMar>
          </w:tcPr>
          <w:p w14:paraId="52478333" w14:textId="77777777" w:rsidR="00BF6F95" w:rsidRPr="00BE3741" w:rsidRDefault="00BF6F95">
            <w:pPr>
              <w:suppressAutoHyphens/>
              <w:autoSpaceDE w:val="0"/>
              <w:autoSpaceDN w:val="0"/>
              <w:adjustRightInd w:val="0"/>
              <w:spacing w:after="0" w:line="240" w:lineRule="auto"/>
              <w:ind w:left="-705" w:firstLine="705"/>
              <w:contextualSpacing/>
              <w:textAlignment w:val="center"/>
              <w:rPr>
                <w:rFonts w:cstheme="minorHAnsi"/>
                <w:color w:val="000000"/>
              </w:rPr>
            </w:pPr>
            <w:r w:rsidRPr="00BE3741">
              <w:rPr>
                <w:rFonts w:cstheme="minorHAnsi"/>
                <w:color w:val="000000"/>
              </w:rPr>
              <w:t>1</w:t>
            </w:r>
            <w:r>
              <w:rPr>
                <w:rFonts w:cstheme="minorHAnsi"/>
                <w:color w:val="000000"/>
              </w:rPr>
              <w:t>4</w:t>
            </w:r>
          </w:p>
        </w:tc>
      </w:tr>
      <w:tr w:rsidR="00BF6F95" w:rsidRPr="00BE3741" w14:paraId="11A820C2" w14:textId="77777777">
        <w:trPr>
          <w:trHeight w:val="25"/>
        </w:trPr>
        <w:tc>
          <w:tcPr>
            <w:tcW w:w="2265" w:type="dxa"/>
            <w:tcBorders>
              <w:top w:val="single" w:sz="8" w:space="0" w:color="FFFFFF"/>
              <w:left w:val="single" w:sz="8" w:space="0" w:color="FFFFFF"/>
              <w:bottom w:val="single" w:sz="8" w:space="0" w:color="FFFFFF"/>
              <w:right w:val="single" w:sz="8" w:space="0" w:color="FFFFFF"/>
            </w:tcBorders>
            <w:shd w:val="solid" w:color="11713F" w:fill="auto"/>
            <w:tcMar>
              <w:top w:w="80" w:type="dxa"/>
              <w:left w:w="80" w:type="dxa"/>
              <w:bottom w:w="80" w:type="dxa"/>
              <w:right w:w="80" w:type="dxa"/>
            </w:tcMar>
          </w:tcPr>
          <w:p w14:paraId="2150EF79" w14:textId="77777777" w:rsidR="00BF6F95" w:rsidRPr="00BE3741" w:rsidRDefault="00BF6F95">
            <w:pPr>
              <w:suppressAutoHyphens/>
              <w:autoSpaceDE w:val="0"/>
              <w:autoSpaceDN w:val="0"/>
              <w:adjustRightInd w:val="0"/>
              <w:spacing w:after="0" w:line="240" w:lineRule="auto"/>
              <w:ind w:left="-705" w:firstLine="705"/>
              <w:contextualSpacing/>
              <w:textAlignment w:val="center"/>
              <w:rPr>
                <w:rFonts w:cstheme="minorHAnsi"/>
                <w:color w:val="FFFFFF"/>
              </w:rPr>
            </w:pPr>
            <w:r>
              <w:rPr>
                <w:rFonts w:cstheme="minorHAnsi"/>
                <w:color w:val="FFFFFF"/>
              </w:rPr>
              <w:t>Heat</w:t>
            </w:r>
          </w:p>
        </w:tc>
        <w:tc>
          <w:tcPr>
            <w:tcW w:w="1325" w:type="dxa"/>
            <w:tcBorders>
              <w:top w:val="single" w:sz="8" w:space="0" w:color="FFFFFF"/>
              <w:left w:val="single" w:sz="8" w:space="0" w:color="FFFFFF"/>
              <w:bottom w:val="single" w:sz="8" w:space="0" w:color="FFFFFF"/>
              <w:right w:val="single" w:sz="8" w:space="0" w:color="FFFFFF"/>
            </w:tcBorders>
            <w:shd w:val="solid" w:color="84AC3E" w:fill="auto"/>
            <w:tcMar>
              <w:top w:w="80" w:type="dxa"/>
              <w:left w:w="80" w:type="dxa"/>
              <w:bottom w:w="80" w:type="dxa"/>
              <w:right w:w="80" w:type="dxa"/>
            </w:tcMar>
          </w:tcPr>
          <w:p w14:paraId="38FFCC40" w14:textId="77777777" w:rsidR="00BF6F95" w:rsidRPr="00BE3741" w:rsidRDefault="00BF6F95">
            <w:pPr>
              <w:suppressAutoHyphens/>
              <w:autoSpaceDE w:val="0"/>
              <w:autoSpaceDN w:val="0"/>
              <w:adjustRightInd w:val="0"/>
              <w:spacing w:after="0" w:line="240" w:lineRule="auto"/>
              <w:ind w:left="-705" w:firstLine="705"/>
              <w:contextualSpacing/>
              <w:textAlignment w:val="center"/>
              <w:rPr>
                <w:rFonts w:cstheme="minorHAnsi"/>
                <w:color w:val="000000"/>
              </w:rPr>
            </w:pPr>
            <w:r>
              <w:rPr>
                <w:rFonts w:cstheme="minorHAnsi"/>
                <w:color w:val="000000"/>
              </w:rPr>
              <w:t>4</w:t>
            </w:r>
          </w:p>
        </w:tc>
        <w:tc>
          <w:tcPr>
            <w:tcW w:w="1440" w:type="dxa"/>
            <w:tcBorders>
              <w:top w:val="single" w:sz="8" w:space="0" w:color="FFFFFF"/>
              <w:left w:val="single" w:sz="8" w:space="0" w:color="FFFFFF"/>
              <w:bottom w:val="single" w:sz="8" w:space="0" w:color="FFFFFF"/>
              <w:right w:val="single" w:sz="8" w:space="0" w:color="FFFFFF"/>
            </w:tcBorders>
            <w:shd w:val="solid" w:color="84AC3E" w:fill="auto"/>
            <w:tcMar>
              <w:top w:w="80" w:type="dxa"/>
              <w:left w:w="80" w:type="dxa"/>
              <w:bottom w:w="80" w:type="dxa"/>
              <w:right w:w="80" w:type="dxa"/>
            </w:tcMar>
          </w:tcPr>
          <w:p w14:paraId="484B7E2E" w14:textId="77777777" w:rsidR="00BF6F95" w:rsidRPr="00BE3741" w:rsidRDefault="00BF6F95">
            <w:pPr>
              <w:suppressAutoHyphens/>
              <w:autoSpaceDE w:val="0"/>
              <w:autoSpaceDN w:val="0"/>
              <w:adjustRightInd w:val="0"/>
              <w:spacing w:after="0" w:line="240" w:lineRule="auto"/>
              <w:ind w:left="-705" w:firstLine="705"/>
              <w:contextualSpacing/>
              <w:textAlignment w:val="center"/>
              <w:rPr>
                <w:rFonts w:cstheme="minorHAnsi"/>
                <w:color w:val="000000"/>
              </w:rPr>
            </w:pPr>
            <w:r>
              <w:rPr>
                <w:rFonts w:cstheme="minorHAnsi"/>
                <w:color w:val="000000"/>
              </w:rPr>
              <w:t>2</w:t>
            </w:r>
          </w:p>
        </w:tc>
        <w:tc>
          <w:tcPr>
            <w:tcW w:w="1037" w:type="dxa"/>
            <w:tcBorders>
              <w:top w:val="single" w:sz="8" w:space="0" w:color="FFFFFF"/>
              <w:left w:val="single" w:sz="8" w:space="0" w:color="FFFFFF"/>
              <w:bottom w:val="single" w:sz="8" w:space="0" w:color="FFFFFF"/>
              <w:right w:val="single" w:sz="8" w:space="0" w:color="FFFFFF"/>
            </w:tcBorders>
            <w:shd w:val="solid" w:color="84AC3E" w:fill="auto"/>
            <w:tcMar>
              <w:top w:w="80" w:type="dxa"/>
              <w:left w:w="80" w:type="dxa"/>
              <w:bottom w:w="80" w:type="dxa"/>
              <w:right w:w="80" w:type="dxa"/>
            </w:tcMar>
          </w:tcPr>
          <w:p w14:paraId="133476C4" w14:textId="77777777" w:rsidR="00BF6F95" w:rsidRDefault="00BF6F95">
            <w:pPr>
              <w:suppressAutoHyphens/>
              <w:autoSpaceDE w:val="0"/>
              <w:autoSpaceDN w:val="0"/>
              <w:adjustRightInd w:val="0"/>
              <w:spacing w:after="0" w:line="240" w:lineRule="auto"/>
              <w:ind w:left="-705" w:firstLine="705"/>
              <w:contextualSpacing/>
              <w:textAlignment w:val="center"/>
              <w:rPr>
                <w:rFonts w:cstheme="minorHAnsi"/>
                <w:color w:val="000000"/>
              </w:rPr>
            </w:pPr>
            <w:r>
              <w:rPr>
                <w:rFonts w:cstheme="minorHAnsi"/>
                <w:color w:val="000000"/>
              </w:rPr>
              <w:t>4</w:t>
            </w:r>
          </w:p>
        </w:tc>
        <w:tc>
          <w:tcPr>
            <w:tcW w:w="1181" w:type="dxa"/>
            <w:tcBorders>
              <w:top w:val="single" w:sz="8" w:space="0" w:color="FFFFFF"/>
              <w:left w:val="single" w:sz="8" w:space="0" w:color="FFFFFF"/>
              <w:bottom w:val="single" w:sz="8" w:space="0" w:color="FFFFFF"/>
              <w:right w:val="single" w:sz="8" w:space="0" w:color="FFFFFF"/>
            </w:tcBorders>
            <w:shd w:val="solid" w:color="84AC3E" w:fill="auto"/>
            <w:tcMar>
              <w:top w:w="80" w:type="dxa"/>
              <w:left w:w="80" w:type="dxa"/>
              <w:bottom w:w="80" w:type="dxa"/>
              <w:right w:w="80" w:type="dxa"/>
            </w:tcMar>
          </w:tcPr>
          <w:p w14:paraId="5EBCFEB0" w14:textId="77777777" w:rsidR="00BF6F95" w:rsidRPr="00BE3741" w:rsidRDefault="00BF6F95">
            <w:pPr>
              <w:suppressAutoHyphens/>
              <w:autoSpaceDE w:val="0"/>
              <w:autoSpaceDN w:val="0"/>
              <w:adjustRightInd w:val="0"/>
              <w:spacing w:after="0" w:line="240" w:lineRule="auto"/>
              <w:ind w:left="-705" w:firstLine="705"/>
              <w:contextualSpacing/>
              <w:textAlignment w:val="center"/>
              <w:rPr>
                <w:rFonts w:cstheme="minorHAnsi"/>
                <w:color w:val="000000"/>
              </w:rPr>
            </w:pPr>
            <w:r>
              <w:rPr>
                <w:rFonts w:cstheme="minorHAnsi"/>
                <w:color w:val="000000"/>
              </w:rPr>
              <w:t>3</w:t>
            </w:r>
          </w:p>
        </w:tc>
        <w:tc>
          <w:tcPr>
            <w:tcW w:w="1497" w:type="dxa"/>
            <w:tcBorders>
              <w:top w:val="single" w:sz="8" w:space="0" w:color="FFFFFF"/>
              <w:left w:val="single" w:sz="8" w:space="0" w:color="FFFFFF"/>
              <w:bottom w:val="single" w:sz="8" w:space="0" w:color="FFFFFF"/>
              <w:right w:val="single" w:sz="8" w:space="0" w:color="FFFFFF"/>
            </w:tcBorders>
            <w:shd w:val="solid" w:color="84AC3E" w:fill="auto"/>
            <w:tcMar>
              <w:top w:w="80" w:type="dxa"/>
              <w:left w:w="80" w:type="dxa"/>
              <w:bottom w:w="80" w:type="dxa"/>
              <w:right w:w="80" w:type="dxa"/>
            </w:tcMar>
          </w:tcPr>
          <w:p w14:paraId="13839CB4" w14:textId="77777777" w:rsidR="00BF6F95" w:rsidRPr="00BE3741" w:rsidRDefault="00BF6F95">
            <w:pPr>
              <w:suppressAutoHyphens/>
              <w:autoSpaceDE w:val="0"/>
              <w:autoSpaceDN w:val="0"/>
              <w:adjustRightInd w:val="0"/>
              <w:spacing w:after="0" w:line="240" w:lineRule="auto"/>
              <w:ind w:left="-705" w:firstLine="705"/>
              <w:contextualSpacing/>
              <w:textAlignment w:val="center"/>
              <w:rPr>
                <w:rFonts w:cstheme="minorHAnsi"/>
                <w:color w:val="000000"/>
              </w:rPr>
            </w:pPr>
            <w:r>
              <w:rPr>
                <w:rFonts w:cstheme="minorHAnsi"/>
                <w:color w:val="000000"/>
              </w:rPr>
              <w:t>2</w:t>
            </w:r>
          </w:p>
        </w:tc>
        <w:tc>
          <w:tcPr>
            <w:tcW w:w="1099" w:type="dxa"/>
            <w:tcBorders>
              <w:top w:val="single" w:sz="8" w:space="0" w:color="FFFFFF"/>
              <w:left w:val="single" w:sz="8" w:space="0" w:color="FFFFFF"/>
              <w:bottom w:val="single" w:sz="8" w:space="0" w:color="FFFFFF"/>
              <w:right w:val="single" w:sz="8" w:space="0" w:color="FFFFFF"/>
            </w:tcBorders>
            <w:shd w:val="solid" w:color="84AC3E" w:fill="auto"/>
            <w:tcMar>
              <w:top w:w="80" w:type="dxa"/>
              <w:left w:w="80" w:type="dxa"/>
              <w:bottom w:w="80" w:type="dxa"/>
              <w:right w:w="80" w:type="dxa"/>
            </w:tcMar>
          </w:tcPr>
          <w:p w14:paraId="3B1F550C" w14:textId="77777777" w:rsidR="00BF6F95" w:rsidRPr="00BE3741" w:rsidRDefault="00BF6F95">
            <w:pPr>
              <w:suppressAutoHyphens/>
              <w:autoSpaceDE w:val="0"/>
              <w:autoSpaceDN w:val="0"/>
              <w:adjustRightInd w:val="0"/>
              <w:spacing w:after="0" w:line="240" w:lineRule="auto"/>
              <w:ind w:left="-705" w:firstLine="705"/>
              <w:contextualSpacing/>
              <w:textAlignment w:val="center"/>
              <w:rPr>
                <w:rFonts w:cstheme="minorHAnsi"/>
                <w:color w:val="000000"/>
              </w:rPr>
            </w:pPr>
            <w:r>
              <w:rPr>
                <w:rFonts w:cstheme="minorHAnsi"/>
                <w:color w:val="000000"/>
              </w:rPr>
              <w:t>2.75</w:t>
            </w:r>
          </w:p>
        </w:tc>
        <w:tc>
          <w:tcPr>
            <w:tcW w:w="936" w:type="dxa"/>
            <w:tcBorders>
              <w:top w:val="single" w:sz="8" w:space="0" w:color="FFFFFF"/>
              <w:left w:val="single" w:sz="8" w:space="0" w:color="FFFFFF"/>
              <w:bottom w:val="single" w:sz="8" w:space="0" w:color="FFFFFF"/>
              <w:right w:val="single" w:sz="8" w:space="0" w:color="FFFFFF"/>
            </w:tcBorders>
            <w:shd w:val="solid" w:color="84AC3E" w:fill="auto"/>
            <w:tcMar>
              <w:top w:w="80" w:type="dxa"/>
              <w:left w:w="80" w:type="dxa"/>
              <w:bottom w:w="80" w:type="dxa"/>
              <w:right w:w="80" w:type="dxa"/>
            </w:tcMar>
          </w:tcPr>
          <w:p w14:paraId="3C0E74EB" w14:textId="77777777" w:rsidR="00BF6F95" w:rsidRPr="00BE3741" w:rsidRDefault="00BF6F95">
            <w:pPr>
              <w:suppressAutoHyphens/>
              <w:autoSpaceDE w:val="0"/>
              <w:autoSpaceDN w:val="0"/>
              <w:adjustRightInd w:val="0"/>
              <w:spacing w:after="0" w:line="240" w:lineRule="auto"/>
              <w:ind w:left="-705" w:firstLine="705"/>
              <w:contextualSpacing/>
              <w:textAlignment w:val="center"/>
              <w:rPr>
                <w:rFonts w:cstheme="minorHAnsi"/>
                <w:color w:val="000000"/>
              </w:rPr>
            </w:pPr>
            <w:r>
              <w:rPr>
                <w:rFonts w:cstheme="minorHAnsi"/>
                <w:color w:val="000000"/>
              </w:rPr>
              <w:t>11</w:t>
            </w:r>
          </w:p>
        </w:tc>
      </w:tr>
      <w:tr w:rsidR="00BF6F95" w:rsidRPr="00BE3741" w14:paraId="37D910F0" w14:textId="77777777">
        <w:trPr>
          <w:trHeight w:val="25"/>
        </w:trPr>
        <w:tc>
          <w:tcPr>
            <w:tcW w:w="2265" w:type="dxa"/>
            <w:tcBorders>
              <w:top w:val="single" w:sz="8" w:space="0" w:color="FFFFFF"/>
              <w:left w:val="single" w:sz="8" w:space="0" w:color="FFFFFF"/>
              <w:bottom w:val="single" w:sz="8" w:space="0" w:color="FFFFFF"/>
              <w:right w:val="single" w:sz="8" w:space="0" w:color="FFFFFF"/>
            </w:tcBorders>
            <w:shd w:val="solid" w:color="11713F" w:fill="auto"/>
            <w:tcMar>
              <w:top w:w="80" w:type="dxa"/>
              <w:left w:w="80" w:type="dxa"/>
              <w:bottom w:w="80" w:type="dxa"/>
              <w:right w:w="80" w:type="dxa"/>
            </w:tcMar>
          </w:tcPr>
          <w:p w14:paraId="79FD6D97" w14:textId="77777777" w:rsidR="00BF6F95" w:rsidRDefault="00BF6F95">
            <w:pPr>
              <w:suppressAutoHyphens/>
              <w:autoSpaceDE w:val="0"/>
              <w:autoSpaceDN w:val="0"/>
              <w:adjustRightInd w:val="0"/>
              <w:spacing w:after="0" w:line="240" w:lineRule="auto"/>
              <w:ind w:left="-705" w:firstLine="705"/>
              <w:contextualSpacing/>
              <w:textAlignment w:val="center"/>
              <w:rPr>
                <w:rFonts w:cstheme="minorHAnsi"/>
                <w:color w:val="FFFFFF"/>
              </w:rPr>
            </w:pPr>
            <w:r w:rsidRPr="00BE3741">
              <w:rPr>
                <w:rFonts w:cstheme="minorHAnsi"/>
                <w:color w:val="FFFFFF"/>
              </w:rPr>
              <w:t>Wind</w:t>
            </w:r>
          </w:p>
        </w:tc>
        <w:tc>
          <w:tcPr>
            <w:tcW w:w="1325" w:type="dxa"/>
            <w:tcBorders>
              <w:top w:val="single" w:sz="8" w:space="0" w:color="FFFFFF"/>
              <w:left w:val="single" w:sz="8" w:space="0" w:color="FFFFFF"/>
              <w:bottom w:val="single" w:sz="8" w:space="0" w:color="FFFFFF"/>
              <w:right w:val="single" w:sz="8" w:space="0" w:color="FFFFFF"/>
            </w:tcBorders>
            <w:shd w:val="solid" w:color="84AC3E" w:fill="auto"/>
            <w:tcMar>
              <w:top w:w="80" w:type="dxa"/>
              <w:left w:w="80" w:type="dxa"/>
              <w:bottom w:w="80" w:type="dxa"/>
              <w:right w:w="80" w:type="dxa"/>
            </w:tcMar>
          </w:tcPr>
          <w:p w14:paraId="0A624620" w14:textId="77777777" w:rsidR="00BF6F95" w:rsidRDefault="00BF6F95">
            <w:pPr>
              <w:suppressAutoHyphens/>
              <w:autoSpaceDE w:val="0"/>
              <w:autoSpaceDN w:val="0"/>
              <w:adjustRightInd w:val="0"/>
              <w:spacing w:after="0" w:line="240" w:lineRule="auto"/>
              <w:ind w:left="-705" w:firstLine="705"/>
              <w:contextualSpacing/>
              <w:textAlignment w:val="center"/>
              <w:rPr>
                <w:rFonts w:cstheme="minorHAnsi"/>
                <w:color w:val="000000"/>
              </w:rPr>
            </w:pPr>
            <w:r w:rsidRPr="00BE3741">
              <w:rPr>
                <w:rFonts w:cstheme="minorHAnsi"/>
                <w:color w:val="000000"/>
              </w:rPr>
              <w:t>4</w:t>
            </w:r>
          </w:p>
        </w:tc>
        <w:tc>
          <w:tcPr>
            <w:tcW w:w="1440" w:type="dxa"/>
            <w:tcBorders>
              <w:top w:val="single" w:sz="8" w:space="0" w:color="FFFFFF"/>
              <w:left w:val="single" w:sz="8" w:space="0" w:color="FFFFFF"/>
              <w:bottom w:val="single" w:sz="8" w:space="0" w:color="FFFFFF"/>
              <w:right w:val="single" w:sz="8" w:space="0" w:color="FFFFFF"/>
            </w:tcBorders>
            <w:shd w:val="solid" w:color="84AC3E" w:fill="auto"/>
            <w:tcMar>
              <w:top w:w="80" w:type="dxa"/>
              <w:left w:w="80" w:type="dxa"/>
              <w:bottom w:w="80" w:type="dxa"/>
              <w:right w:w="80" w:type="dxa"/>
            </w:tcMar>
          </w:tcPr>
          <w:p w14:paraId="7728EE4C" w14:textId="77777777" w:rsidR="00BF6F95" w:rsidRDefault="00BF6F95">
            <w:pPr>
              <w:suppressAutoHyphens/>
              <w:autoSpaceDE w:val="0"/>
              <w:autoSpaceDN w:val="0"/>
              <w:adjustRightInd w:val="0"/>
              <w:spacing w:after="0" w:line="240" w:lineRule="auto"/>
              <w:ind w:left="-705" w:firstLine="705"/>
              <w:contextualSpacing/>
              <w:textAlignment w:val="center"/>
              <w:rPr>
                <w:rFonts w:cstheme="minorHAnsi"/>
                <w:color w:val="000000"/>
              </w:rPr>
            </w:pPr>
            <w:r>
              <w:rPr>
                <w:rFonts w:cstheme="minorHAnsi"/>
                <w:color w:val="000000"/>
              </w:rPr>
              <w:t>3</w:t>
            </w:r>
          </w:p>
        </w:tc>
        <w:tc>
          <w:tcPr>
            <w:tcW w:w="1037" w:type="dxa"/>
            <w:tcBorders>
              <w:top w:val="single" w:sz="8" w:space="0" w:color="FFFFFF"/>
              <w:left w:val="single" w:sz="8" w:space="0" w:color="FFFFFF"/>
              <w:bottom w:val="single" w:sz="8" w:space="0" w:color="FFFFFF"/>
              <w:right w:val="single" w:sz="8" w:space="0" w:color="FFFFFF"/>
            </w:tcBorders>
            <w:shd w:val="solid" w:color="84AC3E" w:fill="auto"/>
            <w:tcMar>
              <w:top w:w="80" w:type="dxa"/>
              <w:left w:w="80" w:type="dxa"/>
              <w:bottom w:w="80" w:type="dxa"/>
              <w:right w:w="80" w:type="dxa"/>
            </w:tcMar>
          </w:tcPr>
          <w:p w14:paraId="784ACE0B" w14:textId="77777777" w:rsidR="00BF6F95" w:rsidRDefault="00BF6F95">
            <w:pPr>
              <w:suppressAutoHyphens/>
              <w:autoSpaceDE w:val="0"/>
              <w:autoSpaceDN w:val="0"/>
              <w:adjustRightInd w:val="0"/>
              <w:spacing w:after="0" w:line="240" w:lineRule="auto"/>
              <w:ind w:left="-705" w:firstLine="705"/>
              <w:contextualSpacing/>
              <w:textAlignment w:val="center"/>
              <w:rPr>
                <w:rFonts w:cstheme="minorHAnsi"/>
                <w:color w:val="000000"/>
              </w:rPr>
            </w:pPr>
            <w:r w:rsidRPr="00BE3741">
              <w:rPr>
                <w:rFonts w:cstheme="minorHAnsi"/>
                <w:color w:val="000000"/>
              </w:rPr>
              <w:t>2</w:t>
            </w:r>
          </w:p>
        </w:tc>
        <w:tc>
          <w:tcPr>
            <w:tcW w:w="1181" w:type="dxa"/>
            <w:tcBorders>
              <w:top w:val="single" w:sz="8" w:space="0" w:color="FFFFFF"/>
              <w:left w:val="single" w:sz="8" w:space="0" w:color="FFFFFF"/>
              <w:bottom w:val="single" w:sz="8" w:space="0" w:color="FFFFFF"/>
              <w:right w:val="single" w:sz="8" w:space="0" w:color="FFFFFF"/>
            </w:tcBorders>
            <w:shd w:val="solid" w:color="84AC3E" w:fill="auto"/>
            <w:tcMar>
              <w:top w:w="80" w:type="dxa"/>
              <w:left w:w="80" w:type="dxa"/>
              <w:bottom w:w="80" w:type="dxa"/>
              <w:right w:w="80" w:type="dxa"/>
            </w:tcMar>
          </w:tcPr>
          <w:p w14:paraId="68CF86B0" w14:textId="77777777" w:rsidR="00BF6F95" w:rsidRDefault="00BF6F95">
            <w:pPr>
              <w:suppressAutoHyphens/>
              <w:autoSpaceDE w:val="0"/>
              <w:autoSpaceDN w:val="0"/>
              <w:adjustRightInd w:val="0"/>
              <w:spacing w:after="0" w:line="240" w:lineRule="auto"/>
              <w:ind w:left="-705" w:firstLine="705"/>
              <w:contextualSpacing/>
              <w:textAlignment w:val="center"/>
              <w:rPr>
                <w:rFonts w:cstheme="minorHAnsi"/>
                <w:color w:val="000000"/>
              </w:rPr>
            </w:pPr>
            <w:r>
              <w:rPr>
                <w:rFonts w:cstheme="minorHAnsi"/>
                <w:color w:val="000000"/>
              </w:rPr>
              <w:t>2</w:t>
            </w:r>
          </w:p>
        </w:tc>
        <w:tc>
          <w:tcPr>
            <w:tcW w:w="1497" w:type="dxa"/>
            <w:tcBorders>
              <w:top w:val="single" w:sz="8" w:space="0" w:color="FFFFFF"/>
              <w:left w:val="single" w:sz="8" w:space="0" w:color="FFFFFF"/>
              <w:bottom w:val="single" w:sz="8" w:space="0" w:color="FFFFFF"/>
              <w:right w:val="single" w:sz="8" w:space="0" w:color="FFFFFF"/>
            </w:tcBorders>
            <w:shd w:val="solid" w:color="84AC3E" w:fill="auto"/>
            <w:tcMar>
              <w:top w:w="80" w:type="dxa"/>
              <w:left w:w="80" w:type="dxa"/>
              <w:bottom w:w="80" w:type="dxa"/>
              <w:right w:w="80" w:type="dxa"/>
            </w:tcMar>
          </w:tcPr>
          <w:p w14:paraId="7C6EF02A" w14:textId="77777777" w:rsidR="00BF6F95" w:rsidRDefault="00BF6F95">
            <w:pPr>
              <w:suppressAutoHyphens/>
              <w:autoSpaceDE w:val="0"/>
              <w:autoSpaceDN w:val="0"/>
              <w:adjustRightInd w:val="0"/>
              <w:spacing w:after="0" w:line="240" w:lineRule="auto"/>
              <w:ind w:left="-705" w:firstLine="705"/>
              <w:contextualSpacing/>
              <w:textAlignment w:val="center"/>
              <w:rPr>
                <w:rFonts w:cstheme="minorHAnsi"/>
                <w:color w:val="000000"/>
              </w:rPr>
            </w:pPr>
            <w:r>
              <w:rPr>
                <w:rFonts w:cstheme="minorHAnsi"/>
                <w:color w:val="000000"/>
              </w:rPr>
              <w:t>2</w:t>
            </w:r>
          </w:p>
        </w:tc>
        <w:tc>
          <w:tcPr>
            <w:tcW w:w="1099" w:type="dxa"/>
            <w:tcBorders>
              <w:top w:val="single" w:sz="8" w:space="0" w:color="FFFFFF"/>
              <w:left w:val="single" w:sz="8" w:space="0" w:color="FFFFFF"/>
              <w:bottom w:val="single" w:sz="8" w:space="0" w:color="FFFFFF"/>
              <w:right w:val="single" w:sz="8" w:space="0" w:color="FFFFFF"/>
            </w:tcBorders>
            <w:shd w:val="solid" w:color="84AC3E" w:fill="auto"/>
            <w:tcMar>
              <w:top w:w="80" w:type="dxa"/>
              <w:left w:w="80" w:type="dxa"/>
              <w:bottom w:w="80" w:type="dxa"/>
              <w:right w:w="80" w:type="dxa"/>
            </w:tcMar>
          </w:tcPr>
          <w:p w14:paraId="4700807B" w14:textId="77777777" w:rsidR="00BF6F95" w:rsidRDefault="00BF6F95">
            <w:pPr>
              <w:suppressAutoHyphens/>
              <w:autoSpaceDE w:val="0"/>
              <w:autoSpaceDN w:val="0"/>
              <w:adjustRightInd w:val="0"/>
              <w:spacing w:after="0" w:line="240" w:lineRule="auto"/>
              <w:ind w:left="-705" w:firstLine="705"/>
              <w:contextualSpacing/>
              <w:textAlignment w:val="center"/>
              <w:rPr>
                <w:rFonts w:cstheme="minorHAnsi"/>
                <w:color w:val="000000"/>
              </w:rPr>
            </w:pPr>
            <w:r>
              <w:rPr>
                <w:rFonts w:cstheme="minorHAnsi"/>
                <w:color w:val="000000"/>
              </w:rPr>
              <w:t>2</w:t>
            </w:r>
            <w:r w:rsidRPr="00BE3741">
              <w:rPr>
                <w:rFonts w:cstheme="minorHAnsi"/>
                <w:color w:val="000000"/>
              </w:rPr>
              <w:t>.</w:t>
            </w:r>
            <w:r>
              <w:rPr>
                <w:rFonts w:cstheme="minorHAnsi"/>
                <w:color w:val="000000"/>
              </w:rPr>
              <w:t>2</w:t>
            </w:r>
            <w:r w:rsidRPr="00BE3741">
              <w:rPr>
                <w:rFonts w:cstheme="minorHAnsi"/>
                <w:color w:val="000000"/>
              </w:rPr>
              <w:t>5</w:t>
            </w:r>
          </w:p>
        </w:tc>
        <w:tc>
          <w:tcPr>
            <w:tcW w:w="936" w:type="dxa"/>
            <w:tcBorders>
              <w:top w:val="single" w:sz="8" w:space="0" w:color="FFFFFF"/>
              <w:left w:val="single" w:sz="8" w:space="0" w:color="FFFFFF"/>
              <w:bottom w:val="single" w:sz="8" w:space="0" w:color="FFFFFF"/>
              <w:right w:val="single" w:sz="8" w:space="0" w:color="FFFFFF"/>
            </w:tcBorders>
            <w:shd w:val="solid" w:color="84AC3E" w:fill="auto"/>
            <w:tcMar>
              <w:top w:w="80" w:type="dxa"/>
              <w:left w:w="80" w:type="dxa"/>
              <w:bottom w:w="80" w:type="dxa"/>
              <w:right w:w="80" w:type="dxa"/>
            </w:tcMar>
          </w:tcPr>
          <w:p w14:paraId="794DC705" w14:textId="77777777" w:rsidR="00BF6F95" w:rsidRDefault="00BF6F95">
            <w:pPr>
              <w:suppressAutoHyphens/>
              <w:autoSpaceDE w:val="0"/>
              <w:autoSpaceDN w:val="0"/>
              <w:adjustRightInd w:val="0"/>
              <w:spacing w:after="0" w:line="240" w:lineRule="auto"/>
              <w:ind w:left="-705" w:firstLine="705"/>
              <w:contextualSpacing/>
              <w:textAlignment w:val="center"/>
              <w:rPr>
                <w:rFonts w:cstheme="minorHAnsi"/>
                <w:color w:val="000000"/>
              </w:rPr>
            </w:pPr>
            <w:r>
              <w:rPr>
                <w:rFonts w:cstheme="minorHAnsi"/>
                <w:color w:val="000000"/>
              </w:rPr>
              <w:t>9</w:t>
            </w:r>
          </w:p>
        </w:tc>
      </w:tr>
      <w:tr w:rsidR="00BF6F95" w:rsidRPr="00BE3741" w14:paraId="7074E378" w14:textId="77777777">
        <w:trPr>
          <w:trHeight w:val="25"/>
        </w:trPr>
        <w:tc>
          <w:tcPr>
            <w:tcW w:w="2265" w:type="dxa"/>
            <w:tcBorders>
              <w:top w:val="single" w:sz="8" w:space="0" w:color="FFFFFF"/>
              <w:left w:val="single" w:sz="8" w:space="0" w:color="FFFFFF"/>
              <w:bottom w:val="single" w:sz="8" w:space="0" w:color="FFFFFF"/>
              <w:right w:val="single" w:sz="8" w:space="0" w:color="FFFFFF"/>
            </w:tcBorders>
            <w:shd w:val="solid" w:color="11713F" w:fill="auto"/>
            <w:tcMar>
              <w:top w:w="80" w:type="dxa"/>
              <w:left w:w="80" w:type="dxa"/>
              <w:bottom w:w="80" w:type="dxa"/>
              <w:right w:w="80" w:type="dxa"/>
            </w:tcMar>
          </w:tcPr>
          <w:p w14:paraId="1D6BA66C" w14:textId="77777777" w:rsidR="00BF6F95" w:rsidRPr="00BE3741" w:rsidRDefault="00BF6F95">
            <w:pPr>
              <w:suppressAutoHyphens/>
              <w:autoSpaceDE w:val="0"/>
              <w:autoSpaceDN w:val="0"/>
              <w:adjustRightInd w:val="0"/>
              <w:spacing w:after="0" w:line="240" w:lineRule="auto"/>
              <w:ind w:left="-705" w:firstLine="705"/>
              <w:contextualSpacing/>
              <w:textAlignment w:val="center"/>
              <w:rPr>
                <w:rFonts w:cstheme="minorHAnsi"/>
                <w:color w:val="000000"/>
              </w:rPr>
            </w:pPr>
            <w:r w:rsidRPr="00BE3741">
              <w:rPr>
                <w:rFonts w:cstheme="minorHAnsi"/>
                <w:color w:val="FFFFFF"/>
              </w:rPr>
              <w:t>Snow</w:t>
            </w:r>
          </w:p>
        </w:tc>
        <w:tc>
          <w:tcPr>
            <w:tcW w:w="1325" w:type="dxa"/>
            <w:tcBorders>
              <w:top w:val="single" w:sz="8" w:space="0" w:color="FFFFFF"/>
              <w:left w:val="single" w:sz="8" w:space="0" w:color="FFFFFF"/>
              <w:bottom w:val="single" w:sz="8" w:space="0" w:color="FFFFFF"/>
              <w:right w:val="single" w:sz="8" w:space="0" w:color="FFFFFF"/>
            </w:tcBorders>
            <w:shd w:val="solid" w:color="84AC3E" w:fill="auto"/>
            <w:tcMar>
              <w:top w:w="80" w:type="dxa"/>
              <w:left w:w="80" w:type="dxa"/>
              <w:bottom w:w="80" w:type="dxa"/>
              <w:right w:w="80" w:type="dxa"/>
            </w:tcMar>
          </w:tcPr>
          <w:p w14:paraId="45DC51E7" w14:textId="77777777" w:rsidR="00BF6F95" w:rsidRPr="00BE3741" w:rsidRDefault="00BF6F95">
            <w:pPr>
              <w:suppressAutoHyphens/>
              <w:autoSpaceDE w:val="0"/>
              <w:autoSpaceDN w:val="0"/>
              <w:adjustRightInd w:val="0"/>
              <w:spacing w:after="0" w:line="240" w:lineRule="auto"/>
              <w:ind w:left="-705" w:firstLine="705"/>
              <w:contextualSpacing/>
              <w:textAlignment w:val="center"/>
              <w:rPr>
                <w:rFonts w:cstheme="minorHAnsi"/>
                <w:color w:val="000000"/>
              </w:rPr>
            </w:pPr>
            <w:r w:rsidRPr="00BE3741">
              <w:rPr>
                <w:rFonts w:cstheme="minorHAnsi"/>
                <w:color w:val="000000"/>
              </w:rPr>
              <w:t>4</w:t>
            </w:r>
          </w:p>
        </w:tc>
        <w:tc>
          <w:tcPr>
            <w:tcW w:w="1440" w:type="dxa"/>
            <w:tcBorders>
              <w:top w:val="single" w:sz="8" w:space="0" w:color="FFFFFF"/>
              <w:left w:val="single" w:sz="8" w:space="0" w:color="FFFFFF"/>
              <w:bottom w:val="single" w:sz="8" w:space="0" w:color="FFFFFF"/>
              <w:right w:val="single" w:sz="8" w:space="0" w:color="FFFFFF"/>
            </w:tcBorders>
            <w:shd w:val="solid" w:color="84AC3E" w:fill="auto"/>
            <w:tcMar>
              <w:top w:w="80" w:type="dxa"/>
              <w:left w:w="80" w:type="dxa"/>
              <w:bottom w:w="80" w:type="dxa"/>
              <w:right w:w="80" w:type="dxa"/>
            </w:tcMar>
          </w:tcPr>
          <w:p w14:paraId="303EEE80" w14:textId="77777777" w:rsidR="00BF6F95" w:rsidRPr="00BE3741" w:rsidRDefault="00BF6F95">
            <w:pPr>
              <w:suppressAutoHyphens/>
              <w:autoSpaceDE w:val="0"/>
              <w:autoSpaceDN w:val="0"/>
              <w:adjustRightInd w:val="0"/>
              <w:spacing w:after="0" w:line="240" w:lineRule="auto"/>
              <w:ind w:left="-705" w:firstLine="705"/>
              <w:contextualSpacing/>
              <w:textAlignment w:val="center"/>
              <w:rPr>
                <w:rFonts w:cstheme="minorHAnsi"/>
                <w:color w:val="000000"/>
              </w:rPr>
            </w:pPr>
            <w:r>
              <w:rPr>
                <w:rFonts w:cstheme="minorHAnsi"/>
                <w:color w:val="000000"/>
              </w:rPr>
              <w:t>2</w:t>
            </w:r>
          </w:p>
        </w:tc>
        <w:tc>
          <w:tcPr>
            <w:tcW w:w="1037" w:type="dxa"/>
            <w:tcBorders>
              <w:top w:val="single" w:sz="8" w:space="0" w:color="FFFFFF"/>
              <w:left w:val="single" w:sz="8" w:space="0" w:color="FFFFFF"/>
              <w:bottom w:val="single" w:sz="8" w:space="0" w:color="FFFFFF"/>
              <w:right w:val="single" w:sz="8" w:space="0" w:color="FFFFFF"/>
            </w:tcBorders>
            <w:shd w:val="solid" w:color="84AC3E" w:fill="auto"/>
            <w:tcMar>
              <w:top w:w="80" w:type="dxa"/>
              <w:left w:w="80" w:type="dxa"/>
              <w:bottom w:w="80" w:type="dxa"/>
              <w:right w:w="80" w:type="dxa"/>
            </w:tcMar>
          </w:tcPr>
          <w:p w14:paraId="79506755" w14:textId="77777777" w:rsidR="00BF6F95" w:rsidRPr="00BE3741" w:rsidRDefault="00BF6F95">
            <w:pPr>
              <w:suppressAutoHyphens/>
              <w:autoSpaceDE w:val="0"/>
              <w:autoSpaceDN w:val="0"/>
              <w:adjustRightInd w:val="0"/>
              <w:spacing w:after="0" w:line="240" w:lineRule="auto"/>
              <w:ind w:left="-705" w:firstLine="705"/>
              <w:contextualSpacing/>
              <w:textAlignment w:val="center"/>
              <w:rPr>
                <w:rFonts w:cstheme="minorHAnsi"/>
                <w:color w:val="000000"/>
              </w:rPr>
            </w:pPr>
            <w:r w:rsidRPr="00BE3741">
              <w:rPr>
                <w:rFonts w:cstheme="minorHAnsi"/>
                <w:color w:val="000000"/>
              </w:rPr>
              <w:t>3</w:t>
            </w:r>
          </w:p>
        </w:tc>
        <w:tc>
          <w:tcPr>
            <w:tcW w:w="1181" w:type="dxa"/>
            <w:tcBorders>
              <w:top w:val="single" w:sz="8" w:space="0" w:color="FFFFFF"/>
              <w:left w:val="single" w:sz="8" w:space="0" w:color="FFFFFF"/>
              <w:bottom w:val="single" w:sz="8" w:space="0" w:color="FFFFFF"/>
              <w:right w:val="single" w:sz="8" w:space="0" w:color="FFFFFF"/>
            </w:tcBorders>
            <w:shd w:val="solid" w:color="84AC3E" w:fill="auto"/>
            <w:tcMar>
              <w:top w:w="80" w:type="dxa"/>
              <w:left w:w="80" w:type="dxa"/>
              <w:bottom w:w="80" w:type="dxa"/>
              <w:right w:w="80" w:type="dxa"/>
            </w:tcMar>
          </w:tcPr>
          <w:p w14:paraId="1C9928FC" w14:textId="77777777" w:rsidR="00BF6F95" w:rsidRPr="00BE3741" w:rsidRDefault="00BF6F95">
            <w:pPr>
              <w:suppressAutoHyphens/>
              <w:autoSpaceDE w:val="0"/>
              <w:autoSpaceDN w:val="0"/>
              <w:adjustRightInd w:val="0"/>
              <w:spacing w:after="0" w:line="240" w:lineRule="auto"/>
              <w:ind w:left="-705" w:firstLine="705"/>
              <w:contextualSpacing/>
              <w:textAlignment w:val="center"/>
              <w:rPr>
                <w:rFonts w:cstheme="minorHAnsi"/>
                <w:color w:val="000000"/>
              </w:rPr>
            </w:pPr>
            <w:r w:rsidRPr="00BE3741">
              <w:rPr>
                <w:rFonts w:cstheme="minorHAnsi"/>
                <w:color w:val="000000"/>
              </w:rPr>
              <w:t>2</w:t>
            </w:r>
          </w:p>
        </w:tc>
        <w:tc>
          <w:tcPr>
            <w:tcW w:w="1497" w:type="dxa"/>
            <w:tcBorders>
              <w:top w:val="single" w:sz="8" w:space="0" w:color="FFFFFF"/>
              <w:left w:val="single" w:sz="8" w:space="0" w:color="FFFFFF"/>
              <w:bottom w:val="single" w:sz="8" w:space="0" w:color="FFFFFF"/>
              <w:right w:val="single" w:sz="8" w:space="0" w:color="FFFFFF"/>
            </w:tcBorders>
            <w:shd w:val="solid" w:color="84AC3E" w:fill="auto"/>
            <w:tcMar>
              <w:top w:w="80" w:type="dxa"/>
              <w:left w:w="80" w:type="dxa"/>
              <w:bottom w:w="80" w:type="dxa"/>
              <w:right w:w="80" w:type="dxa"/>
            </w:tcMar>
          </w:tcPr>
          <w:p w14:paraId="3AC5FDD3" w14:textId="77777777" w:rsidR="00BF6F95" w:rsidRPr="00BE3741" w:rsidRDefault="00BF6F95">
            <w:pPr>
              <w:suppressAutoHyphens/>
              <w:autoSpaceDE w:val="0"/>
              <w:autoSpaceDN w:val="0"/>
              <w:adjustRightInd w:val="0"/>
              <w:spacing w:after="0" w:line="240" w:lineRule="auto"/>
              <w:ind w:left="-705" w:firstLine="705"/>
              <w:contextualSpacing/>
              <w:textAlignment w:val="center"/>
              <w:rPr>
                <w:rFonts w:cstheme="minorHAnsi"/>
                <w:color w:val="000000"/>
              </w:rPr>
            </w:pPr>
            <w:r w:rsidRPr="00BE3741">
              <w:rPr>
                <w:rFonts w:cstheme="minorHAnsi"/>
                <w:color w:val="000000"/>
              </w:rPr>
              <w:t>1</w:t>
            </w:r>
          </w:p>
        </w:tc>
        <w:tc>
          <w:tcPr>
            <w:tcW w:w="1099" w:type="dxa"/>
            <w:tcBorders>
              <w:top w:val="single" w:sz="8" w:space="0" w:color="FFFFFF"/>
              <w:left w:val="single" w:sz="8" w:space="0" w:color="FFFFFF"/>
              <w:bottom w:val="single" w:sz="8" w:space="0" w:color="FFFFFF"/>
              <w:right w:val="single" w:sz="8" w:space="0" w:color="FFFFFF"/>
            </w:tcBorders>
            <w:shd w:val="solid" w:color="84AC3E" w:fill="auto"/>
            <w:tcMar>
              <w:top w:w="80" w:type="dxa"/>
              <w:left w:w="80" w:type="dxa"/>
              <w:bottom w:w="80" w:type="dxa"/>
              <w:right w:w="80" w:type="dxa"/>
            </w:tcMar>
          </w:tcPr>
          <w:p w14:paraId="58A75CEB" w14:textId="77777777" w:rsidR="00BF6F95" w:rsidRPr="00BE3741" w:rsidRDefault="00BF6F95">
            <w:pPr>
              <w:suppressAutoHyphens/>
              <w:autoSpaceDE w:val="0"/>
              <w:autoSpaceDN w:val="0"/>
              <w:adjustRightInd w:val="0"/>
              <w:spacing w:after="0" w:line="240" w:lineRule="auto"/>
              <w:ind w:left="-705" w:firstLine="705"/>
              <w:contextualSpacing/>
              <w:textAlignment w:val="center"/>
              <w:rPr>
                <w:rFonts w:cstheme="minorHAnsi"/>
                <w:color w:val="000000"/>
              </w:rPr>
            </w:pPr>
            <w:r>
              <w:rPr>
                <w:rFonts w:cstheme="minorHAnsi"/>
                <w:color w:val="000000"/>
              </w:rPr>
              <w:t>2</w:t>
            </w:r>
          </w:p>
        </w:tc>
        <w:tc>
          <w:tcPr>
            <w:tcW w:w="936" w:type="dxa"/>
            <w:tcBorders>
              <w:top w:val="single" w:sz="8" w:space="0" w:color="FFFFFF"/>
              <w:left w:val="single" w:sz="8" w:space="0" w:color="FFFFFF"/>
              <w:bottom w:val="single" w:sz="8" w:space="0" w:color="FFFFFF"/>
              <w:right w:val="single" w:sz="8" w:space="0" w:color="FFFFFF"/>
            </w:tcBorders>
            <w:shd w:val="solid" w:color="84AC3E" w:fill="auto"/>
            <w:tcMar>
              <w:top w:w="80" w:type="dxa"/>
              <w:left w:w="80" w:type="dxa"/>
              <w:bottom w:w="80" w:type="dxa"/>
              <w:right w:w="80" w:type="dxa"/>
            </w:tcMar>
          </w:tcPr>
          <w:p w14:paraId="27A49856" w14:textId="77777777" w:rsidR="00BF6F95" w:rsidRPr="00BE3741" w:rsidRDefault="00BF6F95">
            <w:pPr>
              <w:suppressAutoHyphens/>
              <w:autoSpaceDE w:val="0"/>
              <w:autoSpaceDN w:val="0"/>
              <w:adjustRightInd w:val="0"/>
              <w:spacing w:after="0" w:line="240" w:lineRule="auto"/>
              <w:ind w:left="-705" w:firstLine="705"/>
              <w:contextualSpacing/>
              <w:textAlignment w:val="center"/>
              <w:rPr>
                <w:rFonts w:cstheme="minorHAnsi"/>
                <w:color w:val="000000"/>
              </w:rPr>
            </w:pPr>
            <w:r>
              <w:rPr>
                <w:rFonts w:cstheme="minorHAnsi"/>
                <w:color w:val="000000"/>
              </w:rPr>
              <w:t>8</w:t>
            </w:r>
          </w:p>
        </w:tc>
      </w:tr>
      <w:tr w:rsidR="00BF6F95" w:rsidRPr="00BE3741" w14:paraId="6DB07134" w14:textId="77777777">
        <w:trPr>
          <w:trHeight w:val="25"/>
        </w:trPr>
        <w:tc>
          <w:tcPr>
            <w:tcW w:w="2265" w:type="dxa"/>
            <w:tcBorders>
              <w:top w:val="single" w:sz="8" w:space="0" w:color="FFFFFF"/>
              <w:left w:val="single" w:sz="8" w:space="0" w:color="FFFFFF"/>
              <w:bottom w:val="single" w:sz="8" w:space="0" w:color="FFFFFF"/>
              <w:right w:val="single" w:sz="8" w:space="0" w:color="FFFFFF"/>
            </w:tcBorders>
            <w:shd w:val="solid" w:color="11713F" w:fill="auto"/>
            <w:tcMar>
              <w:top w:w="80" w:type="dxa"/>
              <w:left w:w="80" w:type="dxa"/>
              <w:bottom w:w="80" w:type="dxa"/>
              <w:right w:w="80" w:type="dxa"/>
            </w:tcMar>
          </w:tcPr>
          <w:p w14:paraId="4F4776B1" w14:textId="77777777" w:rsidR="00BF6F95" w:rsidRPr="00BE3741" w:rsidRDefault="00BF6F95">
            <w:pPr>
              <w:suppressAutoHyphens/>
              <w:autoSpaceDE w:val="0"/>
              <w:autoSpaceDN w:val="0"/>
              <w:adjustRightInd w:val="0"/>
              <w:spacing w:after="0" w:line="240" w:lineRule="auto"/>
              <w:ind w:left="-705" w:firstLine="705"/>
              <w:contextualSpacing/>
              <w:textAlignment w:val="center"/>
              <w:rPr>
                <w:rFonts w:cstheme="minorHAnsi"/>
                <w:color w:val="000000"/>
              </w:rPr>
            </w:pPr>
            <w:r w:rsidRPr="00BE3741">
              <w:rPr>
                <w:rFonts w:cstheme="minorHAnsi"/>
                <w:color w:val="FFFFFF"/>
              </w:rPr>
              <w:t>Ice</w:t>
            </w:r>
          </w:p>
        </w:tc>
        <w:tc>
          <w:tcPr>
            <w:tcW w:w="1325" w:type="dxa"/>
            <w:tcBorders>
              <w:top w:val="single" w:sz="8" w:space="0" w:color="FFFFFF"/>
              <w:left w:val="single" w:sz="8" w:space="0" w:color="FFFFFF"/>
              <w:bottom w:val="single" w:sz="8" w:space="0" w:color="FFFFFF"/>
              <w:right w:val="single" w:sz="8" w:space="0" w:color="FFFFFF"/>
            </w:tcBorders>
            <w:shd w:val="solid" w:color="84AC3E" w:fill="auto"/>
            <w:tcMar>
              <w:top w:w="80" w:type="dxa"/>
              <w:left w:w="80" w:type="dxa"/>
              <w:bottom w:w="80" w:type="dxa"/>
              <w:right w:w="80" w:type="dxa"/>
            </w:tcMar>
          </w:tcPr>
          <w:p w14:paraId="03A14723" w14:textId="77777777" w:rsidR="00BF6F95" w:rsidRPr="00BE3741" w:rsidRDefault="00BF6F95">
            <w:pPr>
              <w:suppressAutoHyphens/>
              <w:autoSpaceDE w:val="0"/>
              <w:autoSpaceDN w:val="0"/>
              <w:adjustRightInd w:val="0"/>
              <w:spacing w:after="0" w:line="240" w:lineRule="auto"/>
              <w:ind w:left="-705" w:firstLine="705"/>
              <w:contextualSpacing/>
              <w:textAlignment w:val="center"/>
              <w:rPr>
                <w:rFonts w:cstheme="minorHAnsi"/>
                <w:color w:val="000000"/>
              </w:rPr>
            </w:pPr>
            <w:r w:rsidRPr="00BE3741">
              <w:rPr>
                <w:rFonts w:cstheme="minorHAnsi"/>
                <w:color w:val="000000"/>
              </w:rPr>
              <w:t>3</w:t>
            </w:r>
          </w:p>
        </w:tc>
        <w:tc>
          <w:tcPr>
            <w:tcW w:w="1440" w:type="dxa"/>
            <w:tcBorders>
              <w:top w:val="single" w:sz="8" w:space="0" w:color="FFFFFF"/>
              <w:left w:val="single" w:sz="8" w:space="0" w:color="FFFFFF"/>
              <w:bottom w:val="single" w:sz="8" w:space="0" w:color="FFFFFF"/>
              <w:right w:val="single" w:sz="8" w:space="0" w:color="FFFFFF"/>
            </w:tcBorders>
            <w:shd w:val="solid" w:color="84AC3E" w:fill="auto"/>
            <w:tcMar>
              <w:top w:w="80" w:type="dxa"/>
              <w:left w:w="80" w:type="dxa"/>
              <w:bottom w:w="80" w:type="dxa"/>
              <w:right w:w="80" w:type="dxa"/>
            </w:tcMar>
          </w:tcPr>
          <w:p w14:paraId="5D32AD3B" w14:textId="77777777" w:rsidR="00BF6F95" w:rsidRPr="00BE3741" w:rsidRDefault="00BF6F95">
            <w:pPr>
              <w:suppressAutoHyphens/>
              <w:autoSpaceDE w:val="0"/>
              <w:autoSpaceDN w:val="0"/>
              <w:adjustRightInd w:val="0"/>
              <w:spacing w:after="0" w:line="240" w:lineRule="auto"/>
              <w:ind w:left="-705" w:firstLine="705"/>
              <w:contextualSpacing/>
              <w:textAlignment w:val="center"/>
              <w:rPr>
                <w:rFonts w:cstheme="minorHAnsi"/>
                <w:color w:val="000000"/>
              </w:rPr>
            </w:pPr>
            <w:r>
              <w:rPr>
                <w:rFonts w:cstheme="minorHAnsi"/>
                <w:color w:val="000000"/>
              </w:rPr>
              <w:t>2</w:t>
            </w:r>
          </w:p>
        </w:tc>
        <w:tc>
          <w:tcPr>
            <w:tcW w:w="1037" w:type="dxa"/>
            <w:tcBorders>
              <w:top w:val="single" w:sz="8" w:space="0" w:color="FFFFFF"/>
              <w:left w:val="single" w:sz="8" w:space="0" w:color="FFFFFF"/>
              <w:bottom w:val="single" w:sz="8" w:space="0" w:color="FFFFFF"/>
              <w:right w:val="single" w:sz="8" w:space="0" w:color="FFFFFF"/>
            </w:tcBorders>
            <w:shd w:val="solid" w:color="84AC3E" w:fill="auto"/>
            <w:tcMar>
              <w:top w:w="80" w:type="dxa"/>
              <w:left w:w="80" w:type="dxa"/>
              <w:bottom w:w="80" w:type="dxa"/>
              <w:right w:w="80" w:type="dxa"/>
            </w:tcMar>
          </w:tcPr>
          <w:p w14:paraId="7C2C8E04" w14:textId="77777777" w:rsidR="00BF6F95" w:rsidRPr="00BE3741" w:rsidRDefault="00BF6F95">
            <w:pPr>
              <w:suppressAutoHyphens/>
              <w:autoSpaceDE w:val="0"/>
              <w:autoSpaceDN w:val="0"/>
              <w:adjustRightInd w:val="0"/>
              <w:spacing w:after="0" w:line="240" w:lineRule="auto"/>
              <w:ind w:left="-705" w:firstLine="705"/>
              <w:contextualSpacing/>
              <w:textAlignment w:val="center"/>
              <w:rPr>
                <w:rFonts w:cstheme="minorHAnsi"/>
                <w:color w:val="000000"/>
              </w:rPr>
            </w:pPr>
            <w:r w:rsidRPr="00BE3741">
              <w:rPr>
                <w:rFonts w:cstheme="minorHAnsi"/>
                <w:color w:val="000000"/>
              </w:rPr>
              <w:t>3</w:t>
            </w:r>
          </w:p>
        </w:tc>
        <w:tc>
          <w:tcPr>
            <w:tcW w:w="1181" w:type="dxa"/>
            <w:tcBorders>
              <w:top w:val="single" w:sz="8" w:space="0" w:color="FFFFFF"/>
              <w:left w:val="single" w:sz="8" w:space="0" w:color="FFFFFF"/>
              <w:bottom w:val="single" w:sz="8" w:space="0" w:color="FFFFFF"/>
              <w:right w:val="single" w:sz="8" w:space="0" w:color="FFFFFF"/>
            </w:tcBorders>
            <w:shd w:val="solid" w:color="84AC3E" w:fill="auto"/>
            <w:tcMar>
              <w:top w:w="80" w:type="dxa"/>
              <w:left w:w="80" w:type="dxa"/>
              <w:bottom w:w="80" w:type="dxa"/>
              <w:right w:w="80" w:type="dxa"/>
            </w:tcMar>
          </w:tcPr>
          <w:p w14:paraId="54512AA2" w14:textId="77777777" w:rsidR="00BF6F95" w:rsidRPr="00BE3741" w:rsidRDefault="00BF6F95">
            <w:pPr>
              <w:suppressAutoHyphens/>
              <w:autoSpaceDE w:val="0"/>
              <w:autoSpaceDN w:val="0"/>
              <w:adjustRightInd w:val="0"/>
              <w:spacing w:after="0" w:line="240" w:lineRule="auto"/>
              <w:ind w:left="-705" w:firstLine="705"/>
              <w:contextualSpacing/>
              <w:textAlignment w:val="center"/>
              <w:rPr>
                <w:rFonts w:cstheme="minorHAnsi"/>
                <w:color w:val="000000"/>
              </w:rPr>
            </w:pPr>
            <w:r w:rsidRPr="00BE3741">
              <w:rPr>
                <w:rFonts w:cstheme="minorHAnsi"/>
                <w:color w:val="000000"/>
              </w:rPr>
              <w:t>3</w:t>
            </w:r>
          </w:p>
        </w:tc>
        <w:tc>
          <w:tcPr>
            <w:tcW w:w="1497" w:type="dxa"/>
            <w:tcBorders>
              <w:top w:val="single" w:sz="8" w:space="0" w:color="FFFFFF"/>
              <w:left w:val="single" w:sz="8" w:space="0" w:color="FFFFFF"/>
              <w:bottom w:val="single" w:sz="8" w:space="0" w:color="FFFFFF"/>
              <w:right w:val="single" w:sz="8" w:space="0" w:color="FFFFFF"/>
            </w:tcBorders>
            <w:shd w:val="solid" w:color="84AC3E" w:fill="auto"/>
            <w:tcMar>
              <w:top w:w="80" w:type="dxa"/>
              <w:left w:w="80" w:type="dxa"/>
              <w:bottom w:w="80" w:type="dxa"/>
              <w:right w:w="80" w:type="dxa"/>
            </w:tcMar>
          </w:tcPr>
          <w:p w14:paraId="48DD7A5E" w14:textId="77777777" w:rsidR="00BF6F95" w:rsidRPr="00BE3741" w:rsidRDefault="00BF6F95">
            <w:pPr>
              <w:suppressAutoHyphens/>
              <w:autoSpaceDE w:val="0"/>
              <w:autoSpaceDN w:val="0"/>
              <w:adjustRightInd w:val="0"/>
              <w:spacing w:after="0" w:line="240" w:lineRule="auto"/>
              <w:ind w:left="-705" w:firstLine="705"/>
              <w:contextualSpacing/>
              <w:textAlignment w:val="center"/>
              <w:rPr>
                <w:rFonts w:cstheme="minorHAnsi"/>
                <w:color w:val="000000"/>
              </w:rPr>
            </w:pPr>
            <w:r w:rsidRPr="00BE3741">
              <w:rPr>
                <w:rFonts w:cstheme="minorHAnsi"/>
                <w:color w:val="000000"/>
              </w:rPr>
              <w:t>2</w:t>
            </w:r>
          </w:p>
        </w:tc>
        <w:tc>
          <w:tcPr>
            <w:tcW w:w="1099" w:type="dxa"/>
            <w:tcBorders>
              <w:top w:val="single" w:sz="8" w:space="0" w:color="FFFFFF"/>
              <w:left w:val="single" w:sz="8" w:space="0" w:color="FFFFFF"/>
              <w:bottom w:val="single" w:sz="8" w:space="0" w:color="FFFFFF"/>
              <w:right w:val="single" w:sz="8" w:space="0" w:color="FFFFFF"/>
            </w:tcBorders>
            <w:shd w:val="solid" w:color="84AC3E" w:fill="auto"/>
            <w:tcMar>
              <w:top w:w="80" w:type="dxa"/>
              <w:left w:w="80" w:type="dxa"/>
              <w:bottom w:w="80" w:type="dxa"/>
              <w:right w:w="80" w:type="dxa"/>
            </w:tcMar>
          </w:tcPr>
          <w:p w14:paraId="73AC491A" w14:textId="77777777" w:rsidR="00BF6F95" w:rsidRPr="00BE3741" w:rsidRDefault="00BF6F95">
            <w:pPr>
              <w:suppressAutoHyphens/>
              <w:autoSpaceDE w:val="0"/>
              <w:autoSpaceDN w:val="0"/>
              <w:adjustRightInd w:val="0"/>
              <w:spacing w:after="0" w:line="240" w:lineRule="auto"/>
              <w:ind w:left="-705" w:firstLine="705"/>
              <w:contextualSpacing/>
              <w:textAlignment w:val="center"/>
              <w:rPr>
                <w:rFonts w:cstheme="minorHAnsi"/>
                <w:color w:val="000000"/>
              </w:rPr>
            </w:pPr>
            <w:r w:rsidRPr="00BE3741">
              <w:rPr>
                <w:rFonts w:cstheme="minorHAnsi"/>
                <w:color w:val="000000"/>
              </w:rPr>
              <w:t>2</w:t>
            </w:r>
            <w:r>
              <w:rPr>
                <w:rFonts w:cstheme="minorHAnsi"/>
                <w:color w:val="000000"/>
              </w:rPr>
              <w:t>.5</w:t>
            </w:r>
          </w:p>
        </w:tc>
        <w:tc>
          <w:tcPr>
            <w:tcW w:w="936" w:type="dxa"/>
            <w:tcBorders>
              <w:top w:val="single" w:sz="8" w:space="0" w:color="FFFFFF"/>
              <w:left w:val="single" w:sz="8" w:space="0" w:color="FFFFFF"/>
              <w:bottom w:val="single" w:sz="8" w:space="0" w:color="FFFFFF"/>
              <w:right w:val="single" w:sz="8" w:space="0" w:color="FFFFFF"/>
            </w:tcBorders>
            <w:shd w:val="solid" w:color="84AC3E" w:fill="auto"/>
            <w:tcMar>
              <w:top w:w="80" w:type="dxa"/>
              <w:left w:w="80" w:type="dxa"/>
              <w:bottom w:w="80" w:type="dxa"/>
              <w:right w:w="80" w:type="dxa"/>
            </w:tcMar>
          </w:tcPr>
          <w:p w14:paraId="337D6C4C" w14:textId="77777777" w:rsidR="00BF6F95" w:rsidRPr="00BE3741" w:rsidRDefault="00BF6F95">
            <w:pPr>
              <w:suppressAutoHyphens/>
              <w:autoSpaceDE w:val="0"/>
              <w:autoSpaceDN w:val="0"/>
              <w:adjustRightInd w:val="0"/>
              <w:spacing w:after="0" w:line="240" w:lineRule="auto"/>
              <w:ind w:left="-705" w:firstLine="705"/>
              <w:contextualSpacing/>
              <w:textAlignment w:val="center"/>
              <w:rPr>
                <w:rFonts w:cstheme="minorHAnsi"/>
                <w:color w:val="000000"/>
              </w:rPr>
            </w:pPr>
            <w:r>
              <w:rPr>
                <w:rFonts w:cstheme="minorHAnsi"/>
                <w:color w:val="000000"/>
              </w:rPr>
              <w:t>7</w:t>
            </w:r>
            <w:r w:rsidRPr="00BE3741">
              <w:rPr>
                <w:rFonts w:cstheme="minorHAnsi"/>
                <w:color w:val="000000"/>
              </w:rPr>
              <w:t>.5</w:t>
            </w:r>
          </w:p>
        </w:tc>
      </w:tr>
      <w:tr w:rsidR="00BF6F95" w:rsidRPr="00BE3741" w14:paraId="0CC5E4E8" w14:textId="77777777">
        <w:trPr>
          <w:trHeight w:val="25"/>
        </w:trPr>
        <w:tc>
          <w:tcPr>
            <w:tcW w:w="2265" w:type="dxa"/>
            <w:tcBorders>
              <w:top w:val="single" w:sz="8" w:space="0" w:color="FFFFFF"/>
              <w:left w:val="single" w:sz="8" w:space="0" w:color="FFFFFF"/>
              <w:bottom w:val="single" w:sz="8" w:space="0" w:color="FFFFFF"/>
              <w:right w:val="single" w:sz="8" w:space="0" w:color="FFFFFF"/>
            </w:tcBorders>
            <w:shd w:val="solid" w:color="11713F" w:fill="auto"/>
            <w:tcMar>
              <w:top w:w="80" w:type="dxa"/>
              <w:left w:w="80" w:type="dxa"/>
              <w:bottom w:w="80" w:type="dxa"/>
              <w:right w:w="80" w:type="dxa"/>
            </w:tcMar>
          </w:tcPr>
          <w:p w14:paraId="24F3D0AD" w14:textId="77777777" w:rsidR="00BF6F95" w:rsidRPr="00BE3741" w:rsidRDefault="00BF6F95">
            <w:pPr>
              <w:suppressAutoHyphens/>
              <w:autoSpaceDE w:val="0"/>
              <w:autoSpaceDN w:val="0"/>
              <w:adjustRightInd w:val="0"/>
              <w:spacing w:after="0" w:line="240" w:lineRule="auto"/>
              <w:ind w:left="-705" w:firstLine="705"/>
              <w:contextualSpacing/>
              <w:textAlignment w:val="center"/>
              <w:rPr>
                <w:rFonts w:cstheme="minorHAnsi"/>
                <w:color w:val="000000"/>
              </w:rPr>
            </w:pPr>
            <w:r w:rsidRPr="00BE3741">
              <w:rPr>
                <w:rFonts w:cstheme="minorHAnsi"/>
                <w:color w:val="FFFFFF"/>
              </w:rPr>
              <w:t>Drought</w:t>
            </w:r>
          </w:p>
        </w:tc>
        <w:tc>
          <w:tcPr>
            <w:tcW w:w="1325" w:type="dxa"/>
            <w:tcBorders>
              <w:top w:val="single" w:sz="8" w:space="0" w:color="FFFFFF"/>
              <w:left w:val="single" w:sz="8" w:space="0" w:color="FFFFFF"/>
              <w:bottom w:val="single" w:sz="8" w:space="0" w:color="FFFFFF"/>
              <w:right w:val="single" w:sz="8" w:space="0" w:color="FFFFFF"/>
            </w:tcBorders>
            <w:shd w:val="solid" w:color="84AC3E" w:fill="auto"/>
            <w:tcMar>
              <w:top w:w="80" w:type="dxa"/>
              <w:left w:w="80" w:type="dxa"/>
              <w:bottom w:w="80" w:type="dxa"/>
              <w:right w:w="80" w:type="dxa"/>
            </w:tcMar>
          </w:tcPr>
          <w:p w14:paraId="38994F32" w14:textId="77777777" w:rsidR="00BF6F95" w:rsidRPr="00BE3741" w:rsidRDefault="00BF6F95">
            <w:pPr>
              <w:suppressAutoHyphens/>
              <w:autoSpaceDE w:val="0"/>
              <w:autoSpaceDN w:val="0"/>
              <w:adjustRightInd w:val="0"/>
              <w:spacing w:after="0" w:line="240" w:lineRule="auto"/>
              <w:ind w:left="-705" w:firstLine="705"/>
              <w:contextualSpacing/>
              <w:textAlignment w:val="center"/>
              <w:rPr>
                <w:rFonts w:cstheme="minorHAnsi"/>
                <w:color w:val="000000"/>
              </w:rPr>
            </w:pPr>
            <w:r w:rsidRPr="00BE3741">
              <w:rPr>
                <w:rFonts w:cstheme="minorHAnsi"/>
                <w:color w:val="000000"/>
              </w:rPr>
              <w:t>3</w:t>
            </w:r>
          </w:p>
        </w:tc>
        <w:tc>
          <w:tcPr>
            <w:tcW w:w="1440" w:type="dxa"/>
            <w:tcBorders>
              <w:top w:val="single" w:sz="8" w:space="0" w:color="FFFFFF"/>
              <w:left w:val="single" w:sz="8" w:space="0" w:color="FFFFFF"/>
              <w:bottom w:val="single" w:sz="8" w:space="0" w:color="FFFFFF"/>
              <w:right w:val="single" w:sz="8" w:space="0" w:color="FFFFFF"/>
            </w:tcBorders>
            <w:shd w:val="solid" w:color="84AC3E" w:fill="auto"/>
            <w:tcMar>
              <w:top w:w="80" w:type="dxa"/>
              <w:left w:w="80" w:type="dxa"/>
              <w:bottom w:w="80" w:type="dxa"/>
              <w:right w:w="80" w:type="dxa"/>
            </w:tcMar>
          </w:tcPr>
          <w:p w14:paraId="6C7FFC8A" w14:textId="77777777" w:rsidR="00BF6F95" w:rsidRPr="00BE3741" w:rsidRDefault="00BF6F95">
            <w:pPr>
              <w:suppressAutoHyphens/>
              <w:autoSpaceDE w:val="0"/>
              <w:autoSpaceDN w:val="0"/>
              <w:adjustRightInd w:val="0"/>
              <w:spacing w:after="0" w:line="240" w:lineRule="auto"/>
              <w:ind w:left="-705" w:firstLine="705"/>
              <w:contextualSpacing/>
              <w:textAlignment w:val="center"/>
              <w:rPr>
                <w:rFonts w:cstheme="minorHAnsi"/>
                <w:color w:val="000000"/>
              </w:rPr>
            </w:pPr>
            <w:r w:rsidRPr="00BE3741">
              <w:rPr>
                <w:rFonts w:cstheme="minorHAnsi"/>
                <w:color w:val="000000"/>
              </w:rPr>
              <w:t>1</w:t>
            </w:r>
          </w:p>
        </w:tc>
        <w:tc>
          <w:tcPr>
            <w:tcW w:w="1037" w:type="dxa"/>
            <w:tcBorders>
              <w:top w:val="single" w:sz="8" w:space="0" w:color="FFFFFF"/>
              <w:left w:val="single" w:sz="8" w:space="0" w:color="FFFFFF"/>
              <w:bottom w:val="single" w:sz="8" w:space="0" w:color="FFFFFF"/>
              <w:right w:val="single" w:sz="8" w:space="0" w:color="FFFFFF"/>
            </w:tcBorders>
            <w:shd w:val="solid" w:color="84AC3E" w:fill="auto"/>
            <w:tcMar>
              <w:top w:w="80" w:type="dxa"/>
              <w:left w:w="80" w:type="dxa"/>
              <w:bottom w:w="80" w:type="dxa"/>
              <w:right w:w="80" w:type="dxa"/>
            </w:tcMar>
          </w:tcPr>
          <w:p w14:paraId="05083000" w14:textId="77777777" w:rsidR="00BF6F95" w:rsidRPr="00BE3741" w:rsidRDefault="00BF6F95">
            <w:pPr>
              <w:suppressAutoHyphens/>
              <w:autoSpaceDE w:val="0"/>
              <w:autoSpaceDN w:val="0"/>
              <w:adjustRightInd w:val="0"/>
              <w:spacing w:after="0" w:line="240" w:lineRule="auto"/>
              <w:ind w:left="-705" w:firstLine="705"/>
              <w:contextualSpacing/>
              <w:textAlignment w:val="center"/>
              <w:rPr>
                <w:rFonts w:cstheme="minorHAnsi"/>
                <w:color w:val="000000"/>
              </w:rPr>
            </w:pPr>
            <w:r>
              <w:rPr>
                <w:rFonts w:cstheme="minorHAnsi"/>
                <w:color w:val="000000"/>
              </w:rPr>
              <w:t>3</w:t>
            </w:r>
          </w:p>
        </w:tc>
        <w:tc>
          <w:tcPr>
            <w:tcW w:w="1181" w:type="dxa"/>
            <w:tcBorders>
              <w:top w:val="single" w:sz="8" w:space="0" w:color="FFFFFF"/>
              <w:left w:val="single" w:sz="8" w:space="0" w:color="FFFFFF"/>
              <w:bottom w:val="single" w:sz="8" w:space="0" w:color="FFFFFF"/>
              <w:right w:val="single" w:sz="8" w:space="0" w:color="FFFFFF"/>
            </w:tcBorders>
            <w:shd w:val="solid" w:color="84AC3E" w:fill="auto"/>
            <w:tcMar>
              <w:top w:w="80" w:type="dxa"/>
              <w:left w:w="80" w:type="dxa"/>
              <w:bottom w:w="80" w:type="dxa"/>
              <w:right w:w="80" w:type="dxa"/>
            </w:tcMar>
          </w:tcPr>
          <w:p w14:paraId="262618D6" w14:textId="77777777" w:rsidR="00BF6F95" w:rsidRPr="00BE3741" w:rsidRDefault="00BF6F95">
            <w:pPr>
              <w:suppressAutoHyphens/>
              <w:autoSpaceDE w:val="0"/>
              <w:autoSpaceDN w:val="0"/>
              <w:adjustRightInd w:val="0"/>
              <w:spacing w:after="0" w:line="240" w:lineRule="auto"/>
              <w:ind w:left="-705" w:firstLine="705"/>
              <w:contextualSpacing/>
              <w:textAlignment w:val="center"/>
              <w:rPr>
                <w:rFonts w:cstheme="minorHAnsi"/>
                <w:color w:val="000000"/>
              </w:rPr>
            </w:pPr>
            <w:r>
              <w:rPr>
                <w:rFonts w:cstheme="minorHAnsi"/>
                <w:color w:val="000000"/>
              </w:rPr>
              <w:t>3</w:t>
            </w:r>
          </w:p>
        </w:tc>
        <w:tc>
          <w:tcPr>
            <w:tcW w:w="1497" w:type="dxa"/>
            <w:tcBorders>
              <w:top w:val="single" w:sz="8" w:space="0" w:color="FFFFFF"/>
              <w:left w:val="single" w:sz="8" w:space="0" w:color="FFFFFF"/>
              <w:bottom w:val="single" w:sz="8" w:space="0" w:color="FFFFFF"/>
              <w:right w:val="single" w:sz="8" w:space="0" w:color="FFFFFF"/>
            </w:tcBorders>
            <w:shd w:val="solid" w:color="84AC3E" w:fill="auto"/>
            <w:tcMar>
              <w:top w:w="80" w:type="dxa"/>
              <w:left w:w="80" w:type="dxa"/>
              <w:bottom w:w="80" w:type="dxa"/>
              <w:right w:w="80" w:type="dxa"/>
            </w:tcMar>
          </w:tcPr>
          <w:p w14:paraId="1E93A35C" w14:textId="77777777" w:rsidR="00BF6F95" w:rsidRPr="00BE3741" w:rsidRDefault="00BF6F95">
            <w:pPr>
              <w:suppressAutoHyphens/>
              <w:autoSpaceDE w:val="0"/>
              <w:autoSpaceDN w:val="0"/>
              <w:adjustRightInd w:val="0"/>
              <w:spacing w:after="0" w:line="240" w:lineRule="auto"/>
              <w:ind w:left="-705" w:firstLine="705"/>
              <w:contextualSpacing/>
              <w:textAlignment w:val="center"/>
              <w:rPr>
                <w:rFonts w:cstheme="minorHAnsi"/>
                <w:color w:val="000000"/>
              </w:rPr>
            </w:pPr>
            <w:r w:rsidRPr="00BE3741">
              <w:rPr>
                <w:rFonts w:cstheme="minorHAnsi"/>
                <w:color w:val="000000"/>
              </w:rPr>
              <w:t>3</w:t>
            </w:r>
          </w:p>
        </w:tc>
        <w:tc>
          <w:tcPr>
            <w:tcW w:w="1099" w:type="dxa"/>
            <w:tcBorders>
              <w:top w:val="single" w:sz="8" w:space="0" w:color="FFFFFF"/>
              <w:left w:val="single" w:sz="8" w:space="0" w:color="FFFFFF"/>
              <w:bottom w:val="single" w:sz="8" w:space="0" w:color="FFFFFF"/>
              <w:right w:val="single" w:sz="8" w:space="0" w:color="FFFFFF"/>
            </w:tcBorders>
            <w:shd w:val="solid" w:color="84AC3E" w:fill="auto"/>
            <w:tcMar>
              <w:top w:w="80" w:type="dxa"/>
              <w:left w:w="80" w:type="dxa"/>
              <w:bottom w:w="80" w:type="dxa"/>
              <w:right w:w="80" w:type="dxa"/>
            </w:tcMar>
          </w:tcPr>
          <w:p w14:paraId="20EEBD31" w14:textId="77777777" w:rsidR="00BF6F95" w:rsidRPr="00BE3741" w:rsidRDefault="00BF6F95">
            <w:pPr>
              <w:suppressAutoHyphens/>
              <w:autoSpaceDE w:val="0"/>
              <w:autoSpaceDN w:val="0"/>
              <w:adjustRightInd w:val="0"/>
              <w:spacing w:after="0" w:line="240" w:lineRule="auto"/>
              <w:ind w:left="-705" w:firstLine="705"/>
              <w:contextualSpacing/>
              <w:textAlignment w:val="center"/>
              <w:rPr>
                <w:rFonts w:cstheme="minorHAnsi"/>
                <w:color w:val="000000"/>
              </w:rPr>
            </w:pPr>
            <w:r w:rsidRPr="00BE3741">
              <w:rPr>
                <w:rFonts w:cstheme="minorHAnsi"/>
                <w:color w:val="000000"/>
              </w:rPr>
              <w:t>2</w:t>
            </w:r>
            <w:r>
              <w:rPr>
                <w:rFonts w:cstheme="minorHAnsi"/>
                <w:color w:val="000000"/>
              </w:rPr>
              <w:t>.5</w:t>
            </w:r>
          </w:p>
        </w:tc>
        <w:tc>
          <w:tcPr>
            <w:tcW w:w="936" w:type="dxa"/>
            <w:tcBorders>
              <w:top w:val="single" w:sz="8" w:space="0" w:color="FFFFFF"/>
              <w:left w:val="single" w:sz="8" w:space="0" w:color="FFFFFF"/>
              <w:bottom w:val="single" w:sz="8" w:space="0" w:color="FFFFFF"/>
              <w:right w:val="single" w:sz="8" w:space="0" w:color="FFFFFF"/>
            </w:tcBorders>
            <w:shd w:val="solid" w:color="84AC3E" w:fill="auto"/>
            <w:tcMar>
              <w:top w:w="80" w:type="dxa"/>
              <w:left w:w="80" w:type="dxa"/>
              <w:bottom w:w="80" w:type="dxa"/>
              <w:right w:w="80" w:type="dxa"/>
            </w:tcMar>
          </w:tcPr>
          <w:p w14:paraId="01DCC032" w14:textId="77777777" w:rsidR="00BF6F95" w:rsidRPr="00BE3741" w:rsidRDefault="00BF6F95">
            <w:pPr>
              <w:suppressAutoHyphens/>
              <w:autoSpaceDE w:val="0"/>
              <w:autoSpaceDN w:val="0"/>
              <w:adjustRightInd w:val="0"/>
              <w:spacing w:after="0" w:line="240" w:lineRule="auto"/>
              <w:ind w:left="-705" w:firstLine="705"/>
              <w:contextualSpacing/>
              <w:textAlignment w:val="center"/>
              <w:rPr>
                <w:rFonts w:cstheme="minorHAnsi"/>
                <w:color w:val="000000"/>
              </w:rPr>
            </w:pPr>
            <w:r>
              <w:rPr>
                <w:rFonts w:cstheme="minorHAnsi"/>
                <w:color w:val="000000"/>
              </w:rPr>
              <w:t>7.5</w:t>
            </w:r>
          </w:p>
        </w:tc>
      </w:tr>
      <w:tr w:rsidR="00BF6F95" w:rsidRPr="00BE3741" w14:paraId="78EEC947" w14:textId="77777777">
        <w:trPr>
          <w:trHeight w:val="25"/>
        </w:trPr>
        <w:tc>
          <w:tcPr>
            <w:tcW w:w="2265" w:type="dxa"/>
            <w:tcBorders>
              <w:top w:val="single" w:sz="8" w:space="0" w:color="FFFFFF"/>
              <w:left w:val="single" w:sz="8" w:space="0" w:color="FFFFFF"/>
              <w:bottom w:val="single" w:sz="8" w:space="0" w:color="FFFFFF"/>
              <w:right w:val="single" w:sz="8" w:space="0" w:color="FFFFFF"/>
            </w:tcBorders>
            <w:shd w:val="solid" w:color="11713F" w:fill="auto"/>
            <w:tcMar>
              <w:top w:w="80" w:type="dxa"/>
              <w:left w:w="80" w:type="dxa"/>
              <w:bottom w:w="80" w:type="dxa"/>
              <w:right w:w="80" w:type="dxa"/>
            </w:tcMar>
          </w:tcPr>
          <w:p w14:paraId="1EEB483D" w14:textId="77777777" w:rsidR="00BF6F95" w:rsidRPr="00BE3741" w:rsidRDefault="00BF6F95" w:rsidP="004570EE">
            <w:pPr>
              <w:suppressAutoHyphens/>
              <w:autoSpaceDE w:val="0"/>
              <w:autoSpaceDN w:val="0"/>
              <w:adjustRightInd w:val="0"/>
              <w:spacing w:after="0" w:line="240" w:lineRule="auto"/>
              <w:contextualSpacing/>
              <w:textAlignment w:val="center"/>
              <w:rPr>
                <w:rFonts w:cstheme="minorHAnsi"/>
                <w:color w:val="000000"/>
              </w:rPr>
            </w:pPr>
            <w:r w:rsidRPr="00BE3741">
              <w:rPr>
                <w:rFonts w:cstheme="minorHAnsi"/>
                <w:color w:val="FFFFFF"/>
              </w:rPr>
              <w:t xml:space="preserve">Infectious Disease </w:t>
            </w:r>
            <w:r>
              <w:rPr>
                <w:rFonts w:cstheme="minorHAnsi"/>
                <w:color w:val="FFFFFF"/>
              </w:rPr>
              <w:t>Outbreak</w:t>
            </w:r>
          </w:p>
        </w:tc>
        <w:tc>
          <w:tcPr>
            <w:tcW w:w="1325" w:type="dxa"/>
            <w:tcBorders>
              <w:top w:val="single" w:sz="8" w:space="0" w:color="FFFFFF"/>
              <w:left w:val="single" w:sz="8" w:space="0" w:color="FFFFFF"/>
              <w:bottom w:val="single" w:sz="8" w:space="0" w:color="FFFFFF"/>
              <w:right w:val="single" w:sz="8" w:space="0" w:color="FFFFFF"/>
            </w:tcBorders>
            <w:shd w:val="solid" w:color="84AC3E" w:fill="auto"/>
            <w:tcMar>
              <w:top w:w="80" w:type="dxa"/>
              <w:left w:w="80" w:type="dxa"/>
              <w:bottom w:w="80" w:type="dxa"/>
              <w:right w:w="80" w:type="dxa"/>
            </w:tcMar>
          </w:tcPr>
          <w:p w14:paraId="433F2038" w14:textId="77777777" w:rsidR="00BF6F95" w:rsidRPr="00BE3741" w:rsidRDefault="00BF6F95">
            <w:pPr>
              <w:suppressAutoHyphens/>
              <w:autoSpaceDE w:val="0"/>
              <w:autoSpaceDN w:val="0"/>
              <w:adjustRightInd w:val="0"/>
              <w:spacing w:after="0" w:line="240" w:lineRule="auto"/>
              <w:ind w:left="-705" w:firstLine="705"/>
              <w:contextualSpacing/>
              <w:textAlignment w:val="center"/>
              <w:rPr>
                <w:rFonts w:cstheme="minorHAnsi"/>
                <w:color w:val="000000"/>
              </w:rPr>
            </w:pPr>
            <w:r>
              <w:rPr>
                <w:rFonts w:cstheme="minorHAnsi"/>
                <w:color w:val="000000"/>
              </w:rPr>
              <w:t>3</w:t>
            </w:r>
          </w:p>
        </w:tc>
        <w:tc>
          <w:tcPr>
            <w:tcW w:w="1440" w:type="dxa"/>
            <w:tcBorders>
              <w:top w:val="single" w:sz="8" w:space="0" w:color="FFFFFF"/>
              <w:left w:val="single" w:sz="8" w:space="0" w:color="FFFFFF"/>
              <w:bottom w:val="single" w:sz="8" w:space="0" w:color="FFFFFF"/>
              <w:right w:val="single" w:sz="8" w:space="0" w:color="FFFFFF"/>
            </w:tcBorders>
            <w:shd w:val="solid" w:color="84AC3E" w:fill="auto"/>
            <w:tcMar>
              <w:top w:w="80" w:type="dxa"/>
              <w:left w:w="80" w:type="dxa"/>
              <w:bottom w:w="80" w:type="dxa"/>
              <w:right w:w="80" w:type="dxa"/>
            </w:tcMar>
          </w:tcPr>
          <w:p w14:paraId="67C3EDA7" w14:textId="77777777" w:rsidR="00BF6F95" w:rsidRPr="00BE3741" w:rsidRDefault="00BF6F95">
            <w:pPr>
              <w:suppressAutoHyphens/>
              <w:autoSpaceDE w:val="0"/>
              <w:autoSpaceDN w:val="0"/>
              <w:adjustRightInd w:val="0"/>
              <w:spacing w:after="0" w:line="240" w:lineRule="auto"/>
              <w:ind w:left="-705" w:firstLine="705"/>
              <w:contextualSpacing/>
              <w:textAlignment w:val="center"/>
              <w:rPr>
                <w:rFonts w:cstheme="minorHAnsi"/>
                <w:color w:val="000000"/>
              </w:rPr>
            </w:pPr>
            <w:r w:rsidRPr="00BE3741">
              <w:rPr>
                <w:rFonts w:cstheme="minorHAnsi"/>
                <w:color w:val="000000"/>
              </w:rPr>
              <w:t>1</w:t>
            </w:r>
          </w:p>
        </w:tc>
        <w:tc>
          <w:tcPr>
            <w:tcW w:w="1037" w:type="dxa"/>
            <w:tcBorders>
              <w:top w:val="single" w:sz="8" w:space="0" w:color="FFFFFF"/>
              <w:left w:val="single" w:sz="8" w:space="0" w:color="FFFFFF"/>
              <w:bottom w:val="single" w:sz="8" w:space="0" w:color="FFFFFF"/>
              <w:right w:val="single" w:sz="8" w:space="0" w:color="FFFFFF"/>
            </w:tcBorders>
            <w:shd w:val="solid" w:color="84AC3E" w:fill="auto"/>
            <w:tcMar>
              <w:top w:w="80" w:type="dxa"/>
              <w:left w:w="80" w:type="dxa"/>
              <w:bottom w:w="80" w:type="dxa"/>
              <w:right w:w="80" w:type="dxa"/>
            </w:tcMar>
          </w:tcPr>
          <w:p w14:paraId="62811800" w14:textId="77777777" w:rsidR="00BF6F95" w:rsidRPr="00BE3741" w:rsidRDefault="00BF6F95">
            <w:pPr>
              <w:suppressAutoHyphens/>
              <w:autoSpaceDE w:val="0"/>
              <w:autoSpaceDN w:val="0"/>
              <w:adjustRightInd w:val="0"/>
              <w:spacing w:after="0" w:line="240" w:lineRule="auto"/>
              <w:ind w:left="-705" w:firstLine="705"/>
              <w:contextualSpacing/>
              <w:textAlignment w:val="center"/>
              <w:rPr>
                <w:rFonts w:cstheme="minorHAnsi"/>
                <w:color w:val="000000"/>
              </w:rPr>
            </w:pPr>
            <w:r>
              <w:rPr>
                <w:rFonts w:cstheme="minorHAnsi"/>
                <w:color w:val="000000"/>
              </w:rPr>
              <w:t>4</w:t>
            </w:r>
          </w:p>
        </w:tc>
        <w:tc>
          <w:tcPr>
            <w:tcW w:w="1181" w:type="dxa"/>
            <w:tcBorders>
              <w:top w:val="single" w:sz="8" w:space="0" w:color="FFFFFF"/>
              <w:left w:val="single" w:sz="8" w:space="0" w:color="FFFFFF"/>
              <w:bottom w:val="single" w:sz="8" w:space="0" w:color="FFFFFF"/>
              <w:right w:val="single" w:sz="8" w:space="0" w:color="FFFFFF"/>
            </w:tcBorders>
            <w:shd w:val="solid" w:color="84AC3E" w:fill="auto"/>
            <w:tcMar>
              <w:top w:w="80" w:type="dxa"/>
              <w:left w:w="80" w:type="dxa"/>
              <w:bottom w:w="80" w:type="dxa"/>
              <w:right w:w="80" w:type="dxa"/>
            </w:tcMar>
          </w:tcPr>
          <w:p w14:paraId="0D82AD44" w14:textId="77777777" w:rsidR="00BF6F95" w:rsidRPr="00BE3741" w:rsidRDefault="00BF6F95">
            <w:pPr>
              <w:suppressAutoHyphens/>
              <w:autoSpaceDE w:val="0"/>
              <w:autoSpaceDN w:val="0"/>
              <w:adjustRightInd w:val="0"/>
              <w:spacing w:after="0" w:line="240" w:lineRule="auto"/>
              <w:ind w:left="-705" w:firstLine="705"/>
              <w:contextualSpacing/>
              <w:textAlignment w:val="center"/>
              <w:rPr>
                <w:rFonts w:cstheme="minorHAnsi"/>
                <w:color w:val="000000"/>
              </w:rPr>
            </w:pPr>
            <w:r>
              <w:rPr>
                <w:rFonts w:cstheme="minorHAnsi"/>
                <w:color w:val="000000"/>
              </w:rPr>
              <w:t>4</w:t>
            </w:r>
          </w:p>
        </w:tc>
        <w:tc>
          <w:tcPr>
            <w:tcW w:w="1497" w:type="dxa"/>
            <w:tcBorders>
              <w:top w:val="single" w:sz="8" w:space="0" w:color="FFFFFF"/>
              <w:left w:val="single" w:sz="8" w:space="0" w:color="FFFFFF"/>
              <w:bottom w:val="single" w:sz="8" w:space="0" w:color="FFFFFF"/>
              <w:right w:val="single" w:sz="8" w:space="0" w:color="FFFFFF"/>
            </w:tcBorders>
            <w:shd w:val="solid" w:color="84AC3E" w:fill="auto"/>
            <w:tcMar>
              <w:top w:w="80" w:type="dxa"/>
              <w:left w:w="80" w:type="dxa"/>
              <w:bottom w:w="80" w:type="dxa"/>
              <w:right w:w="80" w:type="dxa"/>
            </w:tcMar>
          </w:tcPr>
          <w:p w14:paraId="693DC771" w14:textId="77777777" w:rsidR="00BF6F95" w:rsidRPr="00BE3741" w:rsidRDefault="00BF6F95">
            <w:pPr>
              <w:suppressAutoHyphens/>
              <w:autoSpaceDE w:val="0"/>
              <w:autoSpaceDN w:val="0"/>
              <w:adjustRightInd w:val="0"/>
              <w:spacing w:after="0" w:line="240" w:lineRule="auto"/>
              <w:ind w:left="-705" w:firstLine="705"/>
              <w:contextualSpacing/>
              <w:textAlignment w:val="center"/>
              <w:rPr>
                <w:rFonts w:cstheme="minorHAnsi"/>
                <w:color w:val="000000"/>
              </w:rPr>
            </w:pPr>
            <w:r w:rsidRPr="00BE3741">
              <w:rPr>
                <w:rFonts w:cstheme="minorHAnsi"/>
                <w:color w:val="000000"/>
              </w:rPr>
              <w:t>1</w:t>
            </w:r>
          </w:p>
        </w:tc>
        <w:tc>
          <w:tcPr>
            <w:tcW w:w="1099" w:type="dxa"/>
            <w:tcBorders>
              <w:top w:val="single" w:sz="8" w:space="0" w:color="FFFFFF"/>
              <w:left w:val="single" w:sz="8" w:space="0" w:color="FFFFFF"/>
              <w:bottom w:val="single" w:sz="8" w:space="0" w:color="FFFFFF"/>
              <w:right w:val="single" w:sz="8" w:space="0" w:color="FFFFFF"/>
            </w:tcBorders>
            <w:shd w:val="solid" w:color="84AC3E" w:fill="auto"/>
            <w:tcMar>
              <w:top w:w="80" w:type="dxa"/>
              <w:left w:w="80" w:type="dxa"/>
              <w:bottom w:w="80" w:type="dxa"/>
              <w:right w:w="80" w:type="dxa"/>
            </w:tcMar>
          </w:tcPr>
          <w:p w14:paraId="02192DAB" w14:textId="77777777" w:rsidR="00BF6F95" w:rsidRPr="00BE3741" w:rsidRDefault="00BF6F95">
            <w:pPr>
              <w:suppressAutoHyphens/>
              <w:autoSpaceDE w:val="0"/>
              <w:autoSpaceDN w:val="0"/>
              <w:adjustRightInd w:val="0"/>
              <w:spacing w:after="0" w:line="240" w:lineRule="auto"/>
              <w:ind w:left="-705" w:firstLine="705"/>
              <w:contextualSpacing/>
              <w:textAlignment w:val="center"/>
              <w:rPr>
                <w:rFonts w:cstheme="minorHAnsi"/>
                <w:color w:val="000000"/>
              </w:rPr>
            </w:pPr>
            <w:r>
              <w:rPr>
                <w:rFonts w:cstheme="minorHAnsi"/>
                <w:color w:val="000000"/>
              </w:rPr>
              <w:t>2</w:t>
            </w:r>
            <w:r w:rsidRPr="00BE3741">
              <w:rPr>
                <w:rFonts w:cstheme="minorHAnsi"/>
                <w:color w:val="000000"/>
              </w:rPr>
              <w:t>.5</w:t>
            </w:r>
          </w:p>
        </w:tc>
        <w:tc>
          <w:tcPr>
            <w:tcW w:w="936" w:type="dxa"/>
            <w:tcBorders>
              <w:top w:val="single" w:sz="8" w:space="0" w:color="FFFFFF"/>
              <w:left w:val="single" w:sz="8" w:space="0" w:color="FFFFFF"/>
              <w:bottom w:val="single" w:sz="8" w:space="0" w:color="FFFFFF"/>
              <w:right w:val="single" w:sz="8" w:space="0" w:color="FFFFFF"/>
            </w:tcBorders>
            <w:shd w:val="solid" w:color="84AC3E" w:fill="auto"/>
            <w:tcMar>
              <w:top w:w="80" w:type="dxa"/>
              <w:left w:w="80" w:type="dxa"/>
              <w:bottom w:w="80" w:type="dxa"/>
              <w:right w:w="80" w:type="dxa"/>
            </w:tcMar>
          </w:tcPr>
          <w:p w14:paraId="1AF9B704" w14:textId="77777777" w:rsidR="00BF6F95" w:rsidRPr="00BE3741" w:rsidRDefault="00BF6F95">
            <w:pPr>
              <w:suppressAutoHyphens/>
              <w:autoSpaceDE w:val="0"/>
              <w:autoSpaceDN w:val="0"/>
              <w:adjustRightInd w:val="0"/>
              <w:spacing w:after="0" w:line="240" w:lineRule="auto"/>
              <w:ind w:left="-705" w:firstLine="705"/>
              <w:contextualSpacing/>
              <w:textAlignment w:val="center"/>
              <w:rPr>
                <w:rFonts w:cstheme="minorHAnsi"/>
                <w:color w:val="000000"/>
              </w:rPr>
            </w:pPr>
            <w:r>
              <w:rPr>
                <w:rFonts w:cstheme="minorHAnsi"/>
                <w:color w:val="000000"/>
              </w:rPr>
              <w:t>7</w:t>
            </w:r>
            <w:r w:rsidRPr="00BE3741">
              <w:rPr>
                <w:rFonts w:cstheme="minorHAnsi"/>
                <w:color w:val="000000"/>
              </w:rPr>
              <w:t>.5</w:t>
            </w:r>
          </w:p>
        </w:tc>
      </w:tr>
      <w:tr w:rsidR="00BF6F95" w:rsidRPr="00BE3741" w14:paraId="0C25A575" w14:textId="77777777">
        <w:trPr>
          <w:trHeight w:val="25"/>
        </w:trPr>
        <w:tc>
          <w:tcPr>
            <w:tcW w:w="2265" w:type="dxa"/>
            <w:tcBorders>
              <w:top w:val="single" w:sz="8" w:space="0" w:color="FFFFFF"/>
              <w:left w:val="single" w:sz="8" w:space="0" w:color="FFFFFF"/>
              <w:bottom w:val="single" w:sz="8" w:space="0" w:color="FFFFFF"/>
              <w:right w:val="single" w:sz="8" w:space="0" w:color="FFFFFF"/>
            </w:tcBorders>
            <w:shd w:val="solid" w:color="11713F" w:fill="auto"/>
            <w:tcMar>
              <w:top w:w="80" w:type="dxa"/>
              <w:left w:w="80" w:type="dxa"/>
              <w:bottom w:w="80" w:type="dxa"/>
              <w:right w:w="80" w:type="dxa"/>
            </w:tcMar>
          </w:tcPr>
          <w:p w14:paraId="7BAC9BCE" w14:textId="77777777" w:rsidR="00BF6F95" w:rsidRPr="00BE3741" w:rsidRDefault="00BF6F95">
            <w:pPr>
              <w:suppressAutoHyphens/>
              <w:autoSpaceDE w:val="0"/>
              <w:autoSpaceDN w:val="0"/>
              <w:adjustRightInd w:val="0"/>
              <w:spacing w:after="0" w:line="240" w:lineRule="auto"/>
              <w:ind w:left="-705" w:firstLine="705"/>
              <w:contextualSpacing/>
              <w:textAlignment w:val="center"/>
              <w:rPr>
                <w:rFonts w:cstheme="minorHAnsi"/>
                <w:color w:val="000000"/>
              </w:rPr>
            </w:pPr>
            <w:r w:rsidRPr="00BE3741">
              <w:rPr>
                <w:rFonts w:cstheme="minorHAnsi"/>
                <w:color w:val="FFFFFF"/>
              </w:rPr>
              <w:t>Cold</w:t>
            </w:r>
          </w:p>
        </w:tc>
        <w:tc>
          <w:tcPr>
            <w:tcW w:w="1325" w:type="dxa"/>
            <w:tcBorders>
              <w:top w:val="single" w:sz="8" w:space="0" w:color="FFFFFF"/>
              <w:left w:val="single" w:sz="8" w:space="0" w:color="FFFFFF"/>
              <w:bottom w:val="single" w:sz="8" w:space="0" w:color="FFFFFF"/>
              <w:right w:val="single" w:sz="8" w:space="0" w:color="FFFFFF"/>
            </w:tcBorders>
            <w:shd w:val="solid" w:color="84AC3E" w:fill="auto"/>
            <w:tcMar>
              <w:top w:w="80" w:type="dxa"/>
              <w:left w:w="80" w:type="dxa"/>
              <w:bottom w:w="80" w:type="dxa"/>
              <w:right w:w="80" w:type="dxa"/>
            </w:tcMar>
          </w:tcPr>
          <w:p w14:paraId="27E22726" w14:textId="77777777" w:rsidR="00BF6F95" w:rsidRPr="00BE3741" w:rsidRDefault="00BF6F95">
            <w:pPr>
              <w:suppressAutoHyphens/>
              <w:autoSpaceDE w:val="0"/>
              <w:autoSpaceDN w:val="0"/>
              <w:adjustRightInd w:val="0"/>
              <w:spacing w:after="0" w:line="240" w:lineRule="auto"/>
              <w:ind w:left="-705" w:firstLine="705"/>
              <w:contextualSpacing/>
              <w:textAlignment w:val="center"/>
              <w:rPr>
                <w:rFonts w:cstheme="minorHAnsi"/>
                <w:color w:val="000000"/>
              </w:rPr>
            </w:pPr>
            <w:r w:rsidRPr="00BE3741">
              <w:rPr>
                <w:rFonts w:cstheme="minorHAnsi"/>
                <w:color w:val="000000"/>
              </w:rPr>
              <w:t>3</w:t>
            </w:r>
          </w:p>
        </w:tc>
        <w:tc>
          <w:tcPr>
            <w:tcW w:w="1440" w:type="dxa"/>
            <w:tcBorders>
              <w:top w:val="single" w:sz="8" w:space="0" w:color="FFFFFF"/>
              <w:left w:val="single" w:sz="8" w:space="0" w:color="FFFFFF"/>
              <w:bottom w:val="single" w:sz="8" w:space="0" w:color="FFFFFF"/>
              <w:right w:val="single" w:sz="8" w:space="0" w:color="FFFFFF"/>
            </w:tcBorders>
            <w:shd w:val="solid" w:color="84AC3E" w:fill="auto"/>
            <w:tcMar>
              <w:top w:w="80" w:type="dxa"/>
              <w:left w:w="80" w:type="dxa"/>
              <w:bottom w:w="80" w:type="dxa"/>
              <w:right w:w="80" w:type="dxa"/>
            </w:tcMar>
          </w:tcPr>
          <w:p w14:paraId="2A049347" w14:textId="77777777" w:rsidR="00BF6F95" w:rsidRPr="00BE3741" w:rsidRDefault="00BF6F95">
            <w:pPr>
              <w:suppressAutoHyphens/>
              <w:autoSpaceDE w:val="0"/>
              <w:autoSpaceDN w:val="0"/>
              <w:adjustRightInd w:val="0"/>
              <w:spacing w:after="0" w:line="240" w:lineRule="auto"/>
              <w:ind w:left="-705" w:firstLine="705"/>
              <w:contextualSpacing/>
              <w:textAlignment w:val="center"/>
              <w:rPr>
                <w:rFonts w:cstheme="minorHAnsi"/>
                <w:color w:val="000000"/>
              </w:rPr>
            </w:pPr>
            <w:r>
              <w:rPr>
                <w:rFonts w:cstheme="minorHAnsi"/>
                <w:color w:val="000000"/>
              </w:rPr>
              <w:t>2</w:t>
            </w:r>
          </w:p>
        </w:tc>
        <w:tc>
          <w:tcPr>
            <w:tcW w:w="1037" w:type="dxa"/>
            <w:tcBorders>
              <w:top w:val="single" w:sz="8" w:space="0" w:color="FFFFFF"/>
              <w:left w:val="single" w:sz="8" w:space="0" w:color="FFFFFF"/>
              <w:bottom w:val="single" w:sz="8" w:space="0" w:color="FFFFFF"/>
              <w:right w:val="single" w:sz="8" w:space="0" w:color="FFFFFF"/>
            </w:tcBorders>
            <w:shd w:val="solid" w:color="84AC3E" w:fill="auto"/>
            <w:tcMar>
              <w:top w:w="80" w:type="dxa"/>
              <w:left w:w="80" w:type="dxa"/>
              <w:bottom w:w="80" w:type="dxa"/>
              <w:right w:w="80" w:type="dxa"/>
            </w:tcMar>
          </w:tcPr>
          <w:p w14:paraId="0C92E6A9" w14:textId="77777777" w:rsidR="00BF6F95" w:rsidRPr="00BE3741" w:rsidRDefault="00BF6F95">
            <w:pPr>
              <w:suppressAutoHyphens/>
              <w:autoSpaceDE w:val="0"/>
              <w:autoSpaceDN w:val="0"/>
              <w:adjustRightInd w:val="0"/>
              <w:spacing w:after="0" w:line="240" w:lineRule="auto"/>
              <w:ind w:left="-705" w:firstLine="705"/>
              <w:contextualSpacing/>
              <w:textAlignment w:val="center"/>
              <w:rPr>
                <w:rFonts w:cstheme="minorHAnsi"/>
                <w:color w:val="000000"/>
              </w:rPr>
            </w:pPr>
            <w:r w:rsidRPr="00BE3741">
              <w:rPr>
                <w:rFonts w:cstheme="minorHAnsi"/>
                <w:color w:val="000000"/>
              </w:rPr>
              <w:t>3</w:t>
            </w:r>
          </w:p>
        </w:tc>
        <w:tc>
          <w:tcPr>
            <w:tcW w:w="1181" w:type="dxa"/>
            <w:tcBorders>
              <w:top w:val="single" w:sz="8" w:space="0" w:color="FFFFFF"/>
              <w:left w:val="single" w:sz="8" w:space="0" w:color="FFFFFF"/>
              <w:bottom w:val="single" w:sz="8" w:space="0" w:color="FFFFFF"/>
              <w:right w:val="single" w:sz="8" w:space="0" w:color="FFFFFF"/>
            </w:tcBorders>
            <w:shd w:val="solid" w:color="84AC3E" w:fill="auto"/>
            <w:tcMar>
              <w:top w:w="80" w:type="dxa"/>
              <w:left w:w="80" w:type="dxa"/>
              <w:bottom w:w="80" w:type="dxa"/>
              <w:right w:w="80" w:type="dxa"/>
            </w:tcMar>
          </w:tcPr>
          <w:p w14:paraId="7AA78907" w14:textId="77777777" w:rsidR="00BF6F95" w:rsidRPr="00BE3741" w:rsidRDefault="00BF6F95">
            <w:pPr>
              <w:suppressAutoHyphens/>
              <w:autoSpaceDE w:val="0"/>
              <w:autoSpaceDN w:val="0"/>
              <w:adjustRightInd w:val="0"/>
              <w:spacing w:after="0" w:line="240" w:lineRule="auto"/>
              <w:ind w:left="-705" w:firstLine="705"/>
              <w:contextualSpacing/>
              <w:textAlignment w:val="center"/>
              <w:rPr>
                <w:rFonts w:cstheme="minorHAnsi"/>
                <w:color w:val="000000"/>
              </w:rPr>
            </w:pPr>
            <w:r w:rsidRPr="00BE3741">
              <w:rPr>
                <w:rFonts w:cstheme="minorHAnsi"/>
                <w:color w:val="000000"/>
              </w:rPr>
              <w:t>2</w:t>
            </w:r>
          </w:p>
        </w:tc>
        <w:tc>
          <w:tcPr>
            <w:tcW w:w="1497" w:type="dxa"/>
            <w:tcBorders>
              <w:top w:val="single" w:sz="8" w:space="0" w:color="FFFFFF"/>
              <w:left w:val="single" w:sz="8" w:space="0" w:color="FFFFFF"/>
              <w:bottom w:val="single" w:sz="8" w:space="0" w:color="FFFFFF"/>
              <w:right w:val="single" w:sz="8" w:space="0" w:color="FFFFFF"/>
            </w:tcBorders>
            <w:shd w:val="solid" w:color="84AC3E" w:fill="auto"/>
            <w:tcMar>
              <w:top w:w="80" w:type="dxa"/>
              <w:left w:w="80" w:type="dxa"/>
              <w:bottom w:w="80" w:type="dxa"/>
              <w:right w:w="80" w:type="dxa"/>
            </w:tcMar>
          </w:tcPr>
          <w:p w14:paraId="0840D51F" w14:textId="77777777" w:rsidR="00BF6F95" w:rsidRPr="00BE3741" w:rsidRDefault="00BF6F95">
            <w:pPr>
              <w:suppressAutoHyphens/>
              <w:autoSpaceDE w:val="0"/>
              <w:autoSpaceDN w:val="0"/>
              <w:adjustRightInd w:val="0"/>
              <w:spacing w:after="0" w:line="240" w:lineRule="auto"/>
              <w:ind w:left="-705" w:firstLine="705"/>
              <w:contextualSpacing/>
              <w:textAlignment w:val="center"/>
              <w:rPr>
                <w:rFonts w:cstheme="minorHAnsi"/>
                <w:color w:val="000000"/>
              </w:rPr>
            </w:pPr>
            <w:r w:rsidRPr="00BE3741">
              <w:rPr>
                <w:rFonts w:cstheme="minorHAnsi"/>
                <w:color w:val="000000"/>
              </w:rPr>
              <w:t>2</w:t>
            </w:r>
          </w:p>
        </w:tc>
        <w:tc>
          <w:tcPr>
            <w:tcW w:w="1099" w:type="dxa"/>
            <w:tcBorders>
              <w:top w:val="single" w:sz="8" w:space="0" w:color="FFFFFF"/>
              <w:left w:val="single" w:sz="8" w:space="0" w:color="FFFFFF"/>
              <w:bottom w:val="single" w:sz="8" w:space="0" w:color="FFFFFF"/>
              <w:right w:val="single" w:sz="8" w:space="0" w:color="FFFFFF"/>
            </w:tcBorders>
            <w:shd w:val="solid" w:color="84AC3E" w:fill="auto"/>
            <w:tcMar>
              <w:top w:w="80" w:type="dxa"/>
              <w:left w:w="80" w:type="dxa"/>
              <w:bottom w:w="80" w:type="dxa"/>
              <w:right w:w="80" w:type="dxa"/>
            </w:tcMar>
          </w:tcPr>
          <w:p w14:paraId="3A3CB83D" w14:textId="77777777" w:rsidR="00BF6F95" w:rsidRPr="00BE3741" w:rsidRDefault="00BF6F95">
            <w:pPr>
              <w:suppressAutoHyphens/>
              <w:autoSpaceDE w:val="0"/>
              <w:autoSpaceDN w:val="0"/>
              <w:adjustRightInd w:val="0"/>
              <w:spacing w:after="0" w:line="240" w:lineRule="auto"/>
              <w:ind w:left="-705" w:firstLine="705"/>
              <w:contextualSpacing/>
              <w:textAlignment w:val="center"/>
              <w:rPr>
                <w:rFonts w:cstheme="minorHAnsi"/>
                <w:color w:val="000000"/>
              </w:rPr>
            </w:pPr>
            <w:r w:rsidRPr="00BE3741">
              <w:rPr>
                <w:rFonts w:cstheme="minorHAnsi"/>
                <w:color w:val="000000"/>
              </w:rPr>
              <w:t>2</w:t>
            </w:r>
            <w:r>
              <w:rPr>
                <w:rFonts w:cstheme="minorHAnsi"/>
                <w:color w:val="000000"/>
              </w:rPr>
              <w:t>.25</w:t>
            </w:r>
          </w:p>
        </w:tc>
        <w:tc>
          <w:tcPr>
            <w:tcW w:w="936" w:type="dxa"/>
            <w:tcBorders>
              <w:top w:val="single" w:sz="8" w:space="0" w:color="FFFFFF"/>
              <w:left w:val="single" w:sz="8" w:space="0" w:color="FFFFFF"/>
              <w:bottom w:val="single" w:sz="8" w:space="0" w:color="FFFFFF"/>
              <w:right w:val="single" w:sz="8" w:space="0" w:color="FFFFFF"/>
            </w:tcBorders>
            <w:shd w:val="solid" w:color="84AC3E" w:fill="auto"/>
            <w:tcMar>
              <w:top w:w="80" w:type="dxa"/>
              <w:left w:w="80" w:type="dxa"/>
              <w:bottom w:w="80" w:type="dxa"/>
              <w:right w:w="80" w:type="dxa"/>
            </w:tcMar>
          </w:tcPr>
          <w:p w14:paraId="4674DBEB" w14:textId="77777777" w:rsidR="00BF6F95" w:rsidRPr="00BE3741" w:rsidRDefault="00BF6F95">
            <w:pPr>
              <w:suppressAutoHyphens/>
              <w:autoSpaceDE w:val="0"/>
              <w:autoSpaceDN w:val="0"/>
              <w:adjustRightInd w:val="0"/>
              <w:spacing w:after="0" w:line="240" w:lineRule="auto"/>
              <w:ind w:left="-705" w:firstLine="705"/>
              <w:contextualSpacing/>
              <w:textAlignment w:val="center"/>
              <w:rPr>
                <w:rFonts w:cstheme="minorHAnsi"/>
                <w:color w:val="000000"/>
              </w:rPr>
            </w:pPr>
            <w:r w:rsidRPr="00BE3741">
              <w:rPr>
                <w:rFonts w:cstheme="minorHAnsi"/>
                <w:color w:val="000000"/>
              </w:rPr>
              <w:t>6</w:t>
            </w:r>
            <w:r>
              <w:rPr>
                <w:rFonts w:cstheme="minorHAnsi"/>
                <w:color w:val="000000"/>
              </w:rPr>
              <w:t>.75</w:t>
            </w:r>
          </w:p>
        </w:tc>
      </w:tr>
      <w:tr w:rsidR="00BF6F95" w:rsidRPr="00BE3741" w14:paraId="592A5FB1" w14:textId="77777777">
        <w:trPr>
          <w:trHeight w:val="25"/>
        </w:trPr>
        <w:tc>
          <w:tcPr>
            <w:tcW w:w="2265" w:type="dxa"/>
            <w:tcBorders>
              <w:top w:val="single" w:sz="8" w:space="0" w:color="FFFFFF"/>
              <w:left w:val="single" w:sz="8" w:space="0" w:color="FFFFFF"/>
              <w:bottom w:val="single" w:sz="8" w:space="0" w:color="FFFFFF"/>
              <w:right w:val="single" w:sz="8" w:space="0" w:color="FFFFFF"/>
            </w:tcBorders>
            <w:shd w:val="solid" w:color="11713F" w:fill="auto"/>
            <w:tcMar>
              <w:top w:w="80" w:type="dxa"/>
              <w:left w:w="80" w:type="dxa"/>
              <w:bottom w:w="80" w:type="dxa"/>
              <w:right w:w="80" w:type="dxa"/>
            </w:tcMar>
          </w:tcPr>
          <w:p w14:paraId="1B49403D" w14:textId="77777777" w:rsidR="00BF6F95" w:rsidRPr="00BE3741" w:rsidRDefault="00BF6F95">
            <w:pPr>
              <w:suppressAutoHyphens/>
              <w:autoSpaceDE w:val="0"/>
              <w:autoSpaceDN w:val="0"/>
              <w:adjustRightInd w:val="0"/>
              <w:spacing w:after="0" w:line="240" w:lineRule="auto"/>
              <w:ind w:left="-705" w:firstLine="705"/>
              <w:contextualSpacing/>
              <w:textAlignment w:val="center"/>
              <w:rPr>
                <w:rFonts w:cstheme="minorHAnsi"/>
                <w:color w:val="FFFFFF"/>
              </w:rPr>
            </w:pPr>
            <w:r w:rsidRPr="00BE3741">
              <w:rPr>
                <w:rFonts w:cstheme="minorHAnsi"/>
                <w:color w:val="FFFFFF"/>
              </w:rPr>
              <w:t>Invasive Species</w:t>
            </w:r>
          </w:p>
        </w:tc>
        <w:tc>
          <w:tcPr>
            <w:tcW w:w="1325" w:type="dxa"/>
            <w:tcBorders>
              <w:top w:val="single" w:sz="8" w:space="0" w:color="FFFFFF"/>
              <w:left w:val="single" w:sz="8" w:space="0" w:color="FFFFFF"/>
              <w:bottom w:val="single" w:sz="8" w:space="0" w:color="FFFFFF"/>
              <w:right w:val="single" w:sz="8" w:space="0" w:color="FFFFFF"/>
            </w:tcBorders>
            <w:shd w:val="solid" w:color="84AC3E" w:fill="auto"/>
            <w:tcMar>
              <w:top w:w="80" w:type="dxa"/>
              <w:left w:w="80" w:type="dxa"/>
              <w:bottom w:w="80" w:type="dxa"/>
              <w:right w:w="80" w:type="dxa"/>
            </w:tcMar>
          </w:tcPr>
          <w:p w14:paraId="6432299E" w14:textId="77777777" w:rsidR="00BF6F95" w:rsidRPr="00BE3741" w:rsidRDefault="00BF6F95">
            <w:pPr>
              <w:suppressAutoHyphens/>
              <w:autoSpaceDE w:val="0"/>
              <w:autoSpaceDN w:val="0"/>
              <w:adjustRightInd w:val="0"/>
              <w:spacing w:after="0" w:line="240" w:lineRule="auto"/>
              <w:ind w:left="-705" w:firstLine="705"/>
              <w:contextualSpacing/>
              <w:textAlignment w:val="center"/>
              <w:rPr>
                <w:rFonts w:cstheme="minorHAnsi"/>
                <w:color w:val="000000"/>
              </w:rPr>
            </w:pPr>
            <w:r>
              <w:rPr>
                <w:rFonts w:cstheme="minorHAnsi"/>
                <w:color w:val="000000"/>
              </w:rPr>
              <w:t>3</w:t>
            </w:r>
          </w:p>
        </w:tc>
        <w:tc>
          <w:tcPr>
            <w:tcW w:w="1440" w:type="dxa"/>
            <w:tcBorders>
              <w:top w:val="single" w:sz="8" w:space="0" w:color="FFFFFF"/>
              <w:left w:val="single" w:sz="8" w:space="0" w:color="FFFFFF"/>
              <w:bottom w:val="single" w:sz="8" w:space="0" w:color="FFFFFF"/>
              <w:right w:val="single" w:sz="8" w:space="0" w:color="FFFFFF"/>
            </w:tcBorders>
            <w:shd w:val="solid" w:color="84AC3E" w:fill="auto"/>
            <w:tcMar>
              <w:top w:w="80" w:type="dxa"/>
              <w:left w:w="80" w:type="dxa"/>
              <w:bottom w:w="80" w:type="dxa"/>
              <w:right w:w="80" w:type="dxa"/>
            </w:tcMar>
          </w:tcPr>
          <w:p w14:paraId="73737AD8" w14:textId="77777777" w:rsidR="00BF6F95" w:rsidRDefault="00BF6F95">
            <w:pPr>
              <w:suppressAutoHyphens/>
              <w:autoSpaceDE w:val="0"/>
              <w:autoSpaceDN w:val="0"/>
              <w:adjustRightInd w:val="0"/>
              <w:spacing w:after="0" w:line="240" w:lineRule="auto"/>
              <w:ind w:left="-705" w:firstLine="705"/>
              <w:contextualSpacing/>
              <w:textAlignment w:val="center"/>
              <w:rPr>
                <w:rFonts w:cstheme="minorHAnsi"/>
                <w:color w:val="000000"/>
              </w:rPr>
            </w:pPr>
            <w:r>
              <w:rPr>
                <w:rFonts w:cstheme="minorHAnsi"/>
                <w:color w:val="000000"/>
              </w:rPr>
              <w:t>2</w:t>
            </w:r>
          </w:p>
        </w:tc>
        <w:tc>
          <w:tcPr>
            <w:tcW w:w="1037" w:type="dxa"/>
            <w:tcBorders>
              <w:top w:val="single" w:sz="8" w:space="0" w:color="FFFFFF"/>
              <w:left w:val="single" w:sz="8" w:space="0" w:color="FFFFFF"/>
              <w:bottom w:val="single" w:sz="8" w:space="0" w:color="FFFFFF"/>
              <w:right w:val="single" w:sz="8" w:space="0" w:color="FFFFFF"/>
            </w:tcBorders>
            <w:shd w:val="solid" w:color="84AC3E" w:fill="auto"/>
            <w:tcMar>
              <w:top w:w="80" w:type="dxa"/>
              <w:left w:w="80" w:type="dxa"/>
              <w:bottom w:w="80" w:type="dxa"/>
              <w:right w:w="80" w:type="dxa"/>
            </w:tcMar>
          </w:tcPr>
          <w:p w14:paraId="303CB89D" w14:textId="77777777" w:rsidR="00BF6F95" w:rsidRPr="00BE3741" w:rsidRDefault="00BF6F95">
            <w:pPr>
              <w:suppressAutoHyphens/>
              <w:autoSpaceDE w:val="0"/>
              <w:autoSpaceDN w:val="0"/>
              <w:adjustRightInd w:val="0"/>
              <w:spacing w:after="0" w:line="240" w:lineRule="auto"/>
              <w:ind w:left="-705" w:firstLine="705"/>
              <w:contextualSpacing/>
              <w:textAlignment w:val="center"/>
              <w:rPr>
                <w:rFonts w:cstheme="minorHAnsi"/>
                <w:color w:val="000000"/>
              </w:rPr>
            </w:pPr>
            <w:r w:rsidRPr="00BE3741">
              <w:rPr>
                <w:rFonts w:cstheme="minorHAnsi"/>
                <w:color w:val="000000"/>
              </w:rPr>
              <w:t>1</w:t>
            </w:r>
          </w:p>
        </w:tc>
        <w:tc>
          <w:tcPr>
            <w:tcW w:w="1181" w:type="dxa"/>
            <w:tcBorders>
              <w:top w:val="single" w:sz="8" w:space="0" w:color="FFFFFF"/>
              <w:left w:val="single" w:sz="8" w:space="0" w:color="FFFFFF"/>
              <w:bottom w:val="single" w:sz="8" w:space="0" w:color="FFFFFF"/>
              <w:right w:val="single" w:sz="8" w:space="0" w:color="FFFFFF"/>
            </w:tcBorders>
            <w:shd w:val="solid" w:color="84AC3E" w:fill="auto"/>
            <w:tcMar>
              <w:top w:w="80" w:type="dxa"/>
              <w:left w:w="80" w:type="dxa"/>
              <w:bottom w:w="80" w:type="dxa"/>
              <w:right w:w="80" w:type="dxa"/>
            </w:tcMar>
          </w:tcPr>
          <w:p w14:paraId="24833A86" w14:textId="77777777" w:rsidR="00BF6F95" w:rsidRPr="00BE3741" w:rsidRDefault="00BF6F95">
            <w:pPr>
              <w:suppressAutoHyphens/>
              <w:autoSpaceDE w:val="0"/>
              <w:autoSpaceDN w:val="0"/>
              <w:adjustRightInd w:val="0"/>
              <w:spacing w:after="0" w:line="240" w:lineRule="auto"/>
              <w:ind w:left="-705" w:firstLine="705"/>
              <w:contextualSpacing/>
              <w:textAlignment w:val="center"/>
              <w:rPr>
                <w:rFonts w:cstheme="minorHAnsi"/>
                <w:color w:val="000000"/>
              </w:rPr>
            </w:pPr>
            <w:r>
              <w:rPr>
                <w:rFonts w:cstheme="minorHAnsi"/>
                <w:color w:val="000000"/>
              </w:rPr>
              <w:t>3</w:t>
            </w:r>
          </w:p>
        </w:tc>
        <w:tc>
          <w:tcPr>
            <w:tcW w:w="1497" w:type="dxa"/>
            <w:tcBorders>
              <w:top w:val="single" w:sz="8" w:space="0" w:color="FFFFFF"/>
              <w:left w:val="single" w:sz="8" w:space="0" w:color="FFFFFF"/>
              <w:bottom w:val="single" w:sz="8" w:space="0" w:color="FFFFFF"/>
              <w:right w:val="single" w:sz="8" w:space="0" w:color="FFFFFF"/>
            </w:tcBorders>
            <w:shd w:val="solid" w:color="84AC3E" w:fill="auto"/>
            <w:tcMar>
              <w:top w:w="80" w:type="dxa"/>
              <w:left w:w="80" w:type="dxa"/>
              <w:bottom w:w="80" w:type="dxa"/>
              <w:right w:w="80" w:type="dxa"/>
            </w:tcMar>
          </w:tcPr>
          <w:p w14:paraId="5968F833" w14:textId="77777777" w:rsidR="00BF6F95" w:rsidRPr="00BE3741" w:rsidRDefault="00BF6F95">
            <w:pPr>
              <w:suppressAutoHyphens/>
              <w:autoSpaceDE w:val="0"/>
              <w:autoSpaceDN w:val="0"/>
              <w:adjustRightInd w:val="0"/>
              <w:spacing w:after="0" w:line="240" w:lineRule="auto"/>
              <w:ind w:left="-705" w:firstLine="705"/>
              <w:contextualSpacing/>
              <w:textAlignment w:val="center"/>
              <w:rPr>
                <w:rFonts w:cstheme="minorHAnsi"/>
                <w:color w:val="000000"/>
              </w:rPr>
            </w:pPr>
            <w:r w:rsidRPr="00BE3741">
              <w:rPr>
                <w:rFonts w:cstheme="minorHAnsi"/>
                <w:color w:val="000000"/>
              </w:rPr>
              <w:t>3</w:t>
            </w:r>
          </w:p>
        </w:tc>
        <w:tc>
          <w:tcPr>
            <w:tcW w:w="1099" w:type="dxa"/>
            <w:tcBorders>
              <w:top w:val="single" w:sz="8" w:space="0" w:color="FFFFFF"/>
              <w:left w:val="single" w:sz="8" w:space="0" w:color="FFFFFF"/>
              <w:bottom w:val="single" w:sz="8" w:space="0" w:color="FFFFFF"/>
              <w:right w:val="single" w:sz="8" w:space="0" w:color="FFFFFF"/>
            </w:tcBorders>
            <w:shd w:val="solid" w:color="84AC3E" w:fill="auto"/>
            <w:tcMar>
              <w:top w:w="80" w:type="dxa"/>
              <w:left w:w="80" w:type="dxa"/>
              <w:bottom w:w="80" w:type="dxa"/>
              <w:right w:w="80" w:type="dxa"/>
            </w:tcMar>
          </w:tcPr>
          <w:p w14:paraId="2B06AE58" w14:textId="77777777" w:rsidR="00BF6F95" w:rsidRPr="00BE3741" w:rsidRDefault="00BF6F95">
            <w:pPr>
              <w:suppressAutoHyphens/>
              <w:autoSpaceDE w:val="0"/>
              <w:autoSpaceDN w:val="0"/>
              <w:adjustRightInd w:val="0"/>
              <w:spacing w:after="0" w:line="240" w:lineRule="auto"/>
              <w:ind w:left="-705" w:firstLine="705"/>
              <w:contextualSpacing/>
              <w:textAlignment w:val="center"/>
              <w:rPr>
                <w:rFonts w:cstheme="minorHAnsi"/>
                <w:color w:val="000000"/>
              </w:rPr>
            </w:pPr>
            <w:r>
              <w:rPr>
                <w:rFonts w:cstheme="minorHAnsi"/>
                <w:color w:val="000000"/>
              </w:rPr>
              <w:t>2</w:t>
            </w:r>
            <w:r w:rsidRPr="00BE3741">
              <w:rPr>
                <w:rFonts w:cstheme="minorHAnsi"/>
                <w:color w:val="000000"/>
              </w:rPr>
              <w:t>.</w:t>
            </w:r>
            <w:r>
              <w:rPr>
                <w:rFonts w:cstheme="minorHAnsi"/>
                <w:color w:val="000000"/>
              </w:rPr>
              <w:t>2</w:t>
            </w:r>
            <w:r w:rsidRPr="00BE3741">
              <w:rPr>
                <w:rFonts w:cstheme="minorHAnsi"/>
                <w:color w:val="000000"/>
              </w:rPr>
              <w:t>5</w:t>
            </w:r>
          </w:p>
        </w:tc>
        <w:tc>
          <w:tcPr>
            <w:tcW w:w="936" w:type="dxa"/>
            <w:tcBorders>
              <w:top w:val="single" w:sz="8" w:space="0" w:color="FFFFFF"/>
              <w:left w:val="single" w:sz="8" w:space="0" w:color="FFFFFF"/>
              <w:bottom w:val="single" w:sz="8" w:space="0" w:color="FFFFFF"/>
              <w:right w:val="single" w:sz="8" w:space="0" w:color="FFFFFF"/>
            </w:tcBorders>
            <w:shd w:val="solid" w:color="84AC3E" w:fill="auto"/>
            <w:tcMar>
              <w:top w:w="80" w:type="dxa"/>
              <w:left w:w="80" w:type="dxa"/>
              <w:bottom w:w="80" w:type="dxa"/>
              <w:right w:w="80" w:type="dxa"/>
            </w:tcMar>
          </w:tcPr>
          <w:p w14:paraId="3A5B3C70" w14:textId="77777777" w:rsidR="00BF6F95" w:rsidRPr="00BE3741" w:rsidRDefault="00BF6F95">
            <w:pPr>
              <w:suppressAutoHyphens/>
              <w:autoSpaceDE w:val="0"/>
              <w:autoSpaceDN w:val="0"/>
              <w:adjustRightInd w:val="0"/>
              <w:spacing w:after="0" w:line="240" w:lineRule="auto"/>
              <w:ind w:left="-705" w:firstLine="705"/>
              <w:contextualSpacing/>
              <w:textAlignment w:val="center"/>
              <w:rPr>
                <w:rFonts w:cstheme="minorHAnsi"/>
                <w:color w:val="000000"/>
              </w:rPr>
            </w:pPr>
            <w:r>
              <w:rPr>
                <w:rFonts w:cstheme="minorHAnsi"/>
                <w:color w:val="000000"/>
              </w:rPr>
              <w:t>6</w:t>
            </w:r>
            <w:r w:rsidRPr="00BE3741">
              <w:rPr>
                <w:rFonts w:cstheme="minorHAnsi"/>
                <w:color w:val="000000"/>
              </w:rPr>
              <w:t>.</w:t>
            </w:r>
            <w:r>
              <w:rPr>
                <w:rFonts w:cstheme="minorHAnsi"/>
                <w:color w:val="000000"/>
              </w:rPr>
              <w:t>7</w:t>
            </w:r>
            <w:r w:rsidRPr="00BE3741">
              <w:rPr>
                <w:rFonts w:cstheme="minorHAnsi"/>
                <w:color w:val="000000"/>
              </w:rPr>
              <w:t>5</w:t>
            </w:r>
          </w:p>
        </w:tc>
      </w:tr>
      <w:tr w:rsidR="00BF6F95" w:rsidRPr="00BE3741" w14:paraId="60963E2A" w14:textId="77777777">
        <w:trPr>
          <w:trHeight w:val="25"/>
        </w:trPr>
        <w:tc>
          <w:tcPr>
            <w:tcW w:w="2265" w:type="dxa"/>
            <w:tcBorders>
              <w:top w:val="single" w:sz="8" w:space="0" w:color="FFFFFF"/>
              <w:left w:val="single" w:sz="8" w:space="0" w:color="FFFFFF"/>
              <w:bottom w:val="single" w:sz="8" w:space="0" w:color="FFFFFF"/>
              <w:right w:val="single" w:sz="8" w:space="0" w:color="FFFFFF"/>
            </w:tcBorders>
            <w:shd w:val="solid" w:color="11713F" w:fill="auto"/>
            <w:tcMar>
              <w:top w:w="80" w:type="dxa"/>
              <w:left w:w="80" w:type="dxa"/>
              <w:bottom w:w="80" w:type="dxa"/>
              <w:right w:w="80" w:type="dxa"/>
            </w:tcMar>
          </w:tcPr>
          <w:p w14:paraId="49A5DC52" w14:textId="77777777" w:rsidR="00BF6F95" w:rsidRPr="00BE3741" w:rsidRDefault="00BF6F95">
            <w:pPr>
              <w:suppressAutoHyphens/>
              <w:autoSpaceDE w:val="0"/>
              <w:autoSpaceDN w:val="0"/>
              <w:adjustRightInd w:val="0"/>
              <w:spacing w:after="0" w:line="240" w:lineRule="auto"/>
              <w:ind w:left="-705" w:firstLine="705"/>
              <w:contextualSpacing/>
              <w:textAlignment w:val="center"/>
              <w:rPr>
                <w:rFonts w:cstheme="minorHAnsi"/>
                <w:color w:val="000000"/>
              </w:rPr>
            </w:pPr>
            <w:r w:rsidRPr="00BE3741">
              <w:rPr>
                <w:rFonts w:cstheme="minorHAnsi"/>
                <w:color w:val="FFFFFF"/>
              </w:rPr>
              <w:t>Landslides</w:t>
            </w:r>
          </w:p>
        </w:tc>
        <w:tc>
          <w:tcPr>
            <w:tcW w:w="1325" w:type="dxa"/>
            <w:tcBorders>
              <w:top w:val="single" w:sz="8" w:space="0" w:color="FFFFFF"/>
              <w:left w:val="single" w:sz="8" w:space="0" w:color="FFFFFF"/>
              <w:bottom w:val="single" w:sz="8" w:space="0" w:color="FFFFFF"/>
              <w:right w:val="single" w:sz="8" w:space="0" w:color="FFFFFF"/>
            </w:tcBorders>
            <w:shd w:val="solid" w:color="84AC3E" w:fill="auto"/>
            <w:tcMar>
              <w:top w:w="80" w:type="dxa"/>
              <w:left w:w="80" w:type="dxa"/>
              <w:bottom w:w="80" w:type="dxa"/>
              <w:right w:w="80" w:type="dxa"/>
            </w:tcMar>
          </w:tcPr>
          <w:p w14:paraId="7B021984" w14:textId="77777777" w:rsidR="00BF6F95" w:rsidRPr="00BE3741" w:rsidRDefault="00BF6F95">
            <w:pPr>
              <w:suppressAutoHyphens/>
              <w:autoSpaceDE w:val="0"/>
              <w:autoSpaceDN w:val="0"/>
              <w:adjustRightInd w:val="0"/>
              <w:spacing w:after="0" w:line="240" w:lineRule="auto"/>
              <w:ind w:left="-705" w:firstLine="705"/>
              <w:contextualSpacing/>
              <w:textAlignment w:val="center"/>
              <w:rPr>
                <w:rFonts w:cstheme="minorHAnsi"/>
                <w:color w:val="000000"/>
              </w:rPr>
            </w:pPr>
            <w:r w:rsidRPr="00BE3741">
              <w:rPr>
                <w:rFonts w:cstheme="minorHAnsi"/>
                <w:color w:val="000000"/>
              </w:rPr>
              <w:t>3</w:t>
            </w:r>
          </w:p>
        </w:tc>
        <w:tc>
          <w:tcPr>
            <w:tcW w:w="1440" w:type="dxa"/>
            <w:tcBorders>
              <w:top w:val="single" w:sz="8" w:space="0" w:color="FFFFFF"/>
              <w:left w:val="single" w:sz="8" w:space="0" w:color="FFFFFF"/>
              <w:bottom w:val="single" w:sz="8" w:space="0" w:color="FFFFFF"/>
              <w:right w:val="single" w:sz="8" w:space="0" w:color="FFFFFF"/>
            </w:tcBorders>
            <w:shd w:val="solid" w:color="84AC3E" w:fill="auto"/>
            <w:tcMar>
              <w:top w:w="80" w:type="dxa"/>
              <w:left w:w="80" w:type="dxa"/>
              <w:bottom w:w="80" w:type="dxa"/>
              <w:right w:w="80" w:type="dxa"/>
            </w:tcMar>
          </w:tcPr>
          <w:p w14:paraId="1A99D417" w14:textId="77777777" w:rsidR="00BF6F95" w:rsidRPr="00BE3741" w:rsidRDefault="00BF6F95">
            <w:pPr>
              <w:suppressAutoHyphens/>
              <w:autoSpaceDE w:val="0"/>
              <w:autoSpaceDN w:val="0"/>
              <w:adjustRightInd w:val="0"/>
              <w:spacing w:after="0" w:line="240" w:lineRule="auto"/>
              <w:ind w:left="-705" w:firstLine="705"/>
              <w:contextualSpacing/>
              <w:textAlignment w:val="center"/>
              <w:rPr>
                <w:rFonts w:cstheme="minorHAnsi"/>
                <w:color w:val="000000"/>
              </w:rPr>
            </w:pPr>
            <w:r w:rsidRPr="00BE3741">
              <w:rPr>
                <w:rFonts w:cstheme="minorHAnsi"/>
                <w:color w:val="000000"/>
              </w:rPr>
              <w:t>3</w:t>
            </w:r>
          </w:p>
        </w:tc>
        <w:tc>
          <w:tcPr>
            <w:tcW w:w="1037" w:type="dxa"/>
            <w:tcBorders>
              <w:top w:val="single" w:sz="8" w:space="0" w:color="FFFFFF"/>
              <w:left w:val="single" w:sz="8" w:space="0" w:color="FFFFFF"/>
              <w:bottom w:val="single" w:sz="8" w:space="0" w:color="FFFFFF"/>
              <w:right w:val="single" w:sz="8" w:space="0" w:color="FFFFFF"/>
            </w:tcBorders>
            <w:shd w:val="solid" w:color="84AC3E" w:fill="auto"/>
            <w:tcMar>
              <w:top w:w="80" w:type="dxa"/>
              <w:left w:w="80" w:type="dxa"/>
              <w:bottom w:w="80" w:type="dxa"/>
              <w:right w:w="80" w:type="dxa"/>
            </w:tcMar>
          </w:tcPr>
          <w:p w14:paraId="1A6A4901" w14:textId="77777777" w:rsidR="00BF6F95" w:rsidRPr="00BE3741" w:rsidRDefault="00BF6F95">
            <w:pPr>
              <w:suppressAutoHyphens/>
              <w:autoSpaceDE w:val="0"/>
              <w:autoSpaceDN w:val="0"/>
              <w:adjustRightInd w:val="0"/>
              <w:spacing w:after="0" w:line="240" w:lineRule="auto"/>
              <w:ind w:left="-705" w:firstLine="705"/>
              <w:contextualSpacing/>
              <w:textAlignment w:val="center"/>
              <w:rPr>
                <w:rFonts w:cstheme="minorHAnsi"/>
                <w:color w:val="000000"/>
              </w:rPr>
            </w:pPr>
            <w:r w:rsidRPr="00BE3741">
              <w:rPr>
                <w:rFonts w:cstheme="minorHAnsi"/>
                <w:color w:val="000000"/>
              </w:rPr>
              <w:t>2</w:t>
            </w:r>
          </w:p>
        </w:tc>
        <w:tc>
          <w:tcPr>
            <w:tcW w:w="1181" w:type="dxa"/>
            <w:tcBorders>
              <w:top w:val="single" w:sz="8" w:space="0" w:color="FFFFFF"/>
              <w:left w:val="single" w:sz="8" w:space="0" w:color="FFFFFF"/>
              <w:bottom w:val="single" w:sz="8" w:space="0" w:color="FFFFFF"/>
              <w:right w:val="single" w:sz="8" w:space="0" w:color="FFFFFF"/>
            </w:tcBorders>
            <w:shd w:val="solid" w:color="84AC3E" w:fill="auto"/>
            <w:tcMar>
              <w:top w:w="80" w:type="dxa"/>
              <w:left w:w="80" w:type="dxa"/>
              <w:bottom w:w="80" w:type="dxa"/>
              <w:right w:w="80" w:type="dxa"/>
            </w:tcMar>
          </w:tcPr>
          <w:p w14:paraId="7A7F6C3F" w14:textId="77777777" w:rsidR="00BF6F95" w:rsidRPr="00BE3741" w:rsidRDefault="00BF6F95">
            <w:pPr>
              <w:suppressAutoHyphens/>
              <w:autoSpaceDE w:val="0"/>
              <w:autoSpaceDN w:val="0"/>
              <w:adjustRightInd w:val="0"/>
              <w:spacing w:after="0" w:line="240" w:lineRule="auto"/>
              <w:ind w:left="-705" w:firstLine="705"/>
              <w:contextualSpacing/>
              <w:textAlignment w:val="center"/>
              <w:rPr>
                <w:rFonts w:cstheme="minorHAnsi"/>
                <w:color w:val="000000"/>
              </w:rPr>
            </w:pPr>
            <w:r w:rsidRPr="00BE3741">
              <w:rPr>
                <w:rFonts w:cstheme="minorHAnsi"/>
                <w:color w:val="000000"/>
              </w:rPr>
              <w:t>1</w:t>
            </w:r>
          </w:p>
        </w:tc>
        <w:tc>
          <w:tcPr>
            <w:tcW w:w="1497" w:type="dxa"/>
            <w:tcBorders>
              <w:top w:val="single" w:sz="8" w:space="0" w:color="FFFFFF"/>
              <w:left w:val="single" w:sz="8" w:space="0" w:color="FFFFFF"/>
              <w:bottom w:val="single" w:sz="8" w:space="0" w:color="FFFFFF"/>
              <w:right w:val="single" w:sz="8" w:space="0" w:color="FFFFFF"/>
            </w:tcBorders>
            <w:shd w:val="solid" w:color="84AC3E" w:fill="auto"/>
            <w:tcMar>
              <w:top w:w="80" w:type="dxa"/>
              <w:left w:w="80" w:type="dxa"/>
              <w:bottom w:w="80" w:type="dxa"/>
              <w:right w:w="80" w:type="dxa"/>
            </w:tcMar>
          </w:tcPr>
          <w:p w14:paraId="0568B8A2" w14:textId="77777777" w:rsidR="00BF6F95" w:rsidRPr="00BE3741" w:rsidRDefault="00BF6F95">
            <w:pPr>
              <w:suppressAutoHyphens/>
              <w:autoSpaceDE w:val="0"/>
              <w:autoSpaceDN w:val="0"/>
              <w:adjustRightInd w:val="0"/>
              <w:spacing w:after="0" w:line="240" w:lineRule="auto"/>
              <w:ind w:left="-705" w:firstLine="705"/>
              <w:contextualSpacing/>
              <w:textAlignment w:val="center"/>
              <w:rPr>
                <w:rFonts w:cstheme="minorHAnsi"/>
                <w:color w:val="000000"/>
              </w:rPr>
            </w:pPr>
            <w:r w:rsidRPr="00BE3741">
              <w:rPr>
                <w:rFonts w:cstheme="minorHAnsi"/>
                <w:color w:val="000000"/>
              </w:rPr>
              <w:t>2</w:t>
            </w:r>
          </w:p>
        </w:tc>
        <w:tc>
          <w:tcPr>
            <w:tcW w:w="1099" w:type="dxa"/>
            <w:tcBorders>
              <w:top w:val="single" w:sz="8" w:space="0" w:color="FFFFFF"/>
              <w:left w:val="single" w:sz="8" w:space="0" w:color="FFFFFF"/>
              <w:bottom w:val="single" w:sz="8" w:space="0" w:color="FFFFFF"/>
              <w:right w:val="single" w:sz="8" w:space="0" w:color="FFFFFF"/>
            </w:tcBorders>
            <w:shd w:val="solid" w:color="84AC3E" w:fill="auto"/>
            <w:tcMar>
              <w:top w:w="80" w:type="dxa"/>
              <w:left w:w="80" w:type="dxa"/>
              <w:bottom w:w="80" w:type="dxa"/>
              <w:right w:w="80" w:type="dxa"/>
            </w:tcMar>
          </w:tcPr>
          <w:p w14:paraId="1D7FC930" w14:textId="77777777" w:rsidR="00BF6F95" w:rsidRPr="00BE3741" w:rsidRDefault="00BF6F95">
            <w:pPr>
              <w:suppressAutoHyphens/>
              <w:autoSpaceDE w:val="0"/>
              <w:autoSpaceDN w:val="0"/>
              <w:adjustRightInd w:val="0"/>
              <w:spacing w:after="0" w:line="240" w:lineRule="auto"/>
              <w:ind w:left="-705" w:firstLine="705"/>
              <w:contextualSpacing/>
              <w:textAlignment w:val="center"/>
              <w:rPr>
                <w:rFonts w:cstheme="minorHAnsi"/>
                <w:color w:val="000000"/>
              </w:rPr>
            </w:pPr>
            <w:r w:rsidRPr="00BE3741">
              <w:rPr>
                <w:rFonts w:cstheme="minorHAnsi"/>
                <w:color w:val="000000"/>
              </w:rPr>
              <w:t>2</w:t>
            </w:r>
          </w:p>
        </w:tc>
        <w:tc>
          <w:tcPr>
            <w:tcW w:w="936" w:type="dxa"/>
            <w:tcBorders>
              <w:top w:val="single" w:sz="8" w:space="0" w:color="FFFFFF"/>
              <w:left w:val="single" w:sz="8" w:space="0" w:color="FFFFFF"/>
              <w:bottom w:val="single" w:sz="8" w:space="0" w:color="FFFFFF"/>
              <w:right w:val="single" w:sz="8" w:space="0" w:color="FFFFFF"/>
            </w:tcBorders>
            <w:shd w:val="solid" w:color="84AC3E" w:fill="auto"/>
            <w:tcMar>
              <w:top w:w="80" w:type="dxa"/>
              <w:left w:w="80" w:type="dxa"/>
              <w:bottom w:w="80" w:type="dxa"/>
              <w:right w:w="80" w:type="dxa"/>
            </w:tcMar>
          </w:tcPr>
          <w:p w14:paraId="4A5601F7" w14:textId="77777777" w:rsidR="00BF6F95" w:rsidRPr="00BE3741" w:rsidRDefault="00BF6F95">
            <w:pPr>
              <w:suppressAutoHyphens/>
              <w:autoSpaceDE w:val="0"/>
              <w:autoSpaceDN w:val="0"/>
              <w:adjustRightInd w:val="0"/>
              <w:spacing w:after="0" w:line="240" w:lineRule="auto"/>
              <w:ind w:left="-705" w:firstLine="705"/>
              <w:contextualSpacing/>
              <w:textAlignment w:val="center"/>
              <w:rPr>
                <w:rFonts w:cstheme="minorHAnsi"/>
                <w:color w:val="000000"/>
              </w:rPr>
            </w:pPr>
            <w:r w:rsidRPr="00BE3741">
              <w:rPr>
                <w:rFonts w:cstheme="minorHAnsi"/>
                <w:color w:val="000000"/>
              </w:rPr>
              <w:t>6</w:t>
            </w:r>
          </w:p>
        </w:tc>
      </w:tr>
      <w:tr w:rsidR="00BF6F95" w:rsidRPr="00BE3741" w14:paraId="23E36F09" w14:textId="77777777">
        <w:trPr>
          <w:trHeight w:val="25"/>
        </w:trPr>
        <w:tc>
          <w:tcPr>
            <w:tcW w:w="2265" w:type="dxa"/>
            <w:tcBorders>
              <w:top w:val="single" w:sz="8" w:space="0" w:color="FFFFFF"/>
              <w:left w:val="single" w:sz="8" w:space="0" w:color="FFFFFF"/>
              <w:bottom w:val="single" w:sz="8" w:space="0" w:color="FFFFFF"/>
              <w:right w:val="single" w:sz="8" w:space="0" w:color="FFFFFF"/>
            </w:tcBorders>
            <w:shd w:val="solid" w:color="11713F" w:fill="auto"/>
            <w:tcMar>
              <w:top w:w="80" w:type="dxa"/>
              <w:left w:w="80" w:type="dxa"/>
              <w:bottom w:w="80" w:type="dxa"/>
              <w:right w:w="80" w:type="dxa"/>
            </w:tcMar>
          </w:tcPr>
          <w:p w14:paraId="7EDBBE80" w14:textId="77777777" w:rsidR="00BF6F95" w:rsidRPr="00BE3741" w:rsidRDefault="00BF6F95">
            <w:pPr>
              <w:suppressAutoHyphens/>
              <w:autoSpaceDE w:val="0"/>
              <w:autoSpaceDN w:val="0"/>
              <w:adjustRightInd w:val="0"/>
              <w:spacing w:after="0" w:line="240" w:lineRule="auto"/>
              <w:ind w:left="-705" w:firstLine="705"/>
              <w:contextualSpacing/>
              <w:textAlignment w:val="center"/>
              <w:rPr>
                <w:rFonts w:cstheme="minorHAnsi"/>
                <w:color w:val="000000"/>
              </w:rPr>
            </w:pPr>
            <w:r w:rsidRPr="00BE3741">
              <w:rPr>
                <w:rFonts w:cstheme="minorHAnsi"/>
                <w:color w:val="FFFFFF"/>
              </w:rPr>
              <w:t>Wildfire</w:t>
            </w:r>
          </w:p>
        </w:tc>
        <w:tc>
          <w:tcPr>
            <w:tcW w:w="1325" w:type="dxa"/>
            <w:tcBorders>
              <w:top w:val="single" w:sz="8" w:space="0" w:color="FFFFFF"/>
              <w:left w:val="single" w:sz="8" w:space="0" w:color="FFFFFF"/>
              <w:bottom w:val="single" w:sz="8" w:space="0" w:color="FFFFFF"/>
              <w:right w:val="single" w:sz="8" w:space="0" w:color="FFFFFF"/>
            </w:tcBorders>
            <w:shd w:val="solid" w:color="84AC3E" w:fill="auto"/>
            <w:tcMar>
              <w:top w:w="80" w:type="dxa"/>
              <w:left w:w="80" w:type="dxa"/>
              <w:bottom w:w="80" w:type="dxa"/>
              <w:right w:w="80" w:type="dxa"/>
            </w:tcMar>
          </w:tcPr>
          <w:p w14:paraId="4F282E42" w14:textId="77777777" w:rsidR="00BF6F95" w:rsidRPr="00BE3741" w:rsidRDefault="00BF6F95">
            <w:pPr>
              <w:suppressAutoHyphens/>
              <w:autoSpaceDE w:val="0"/>
              <w:autoSpaceDN w:val="0"/>
              <w:adjustRightInd w:val="0"/>
              <w:spacing w:after="0" w:line="240" w:lineRule="auto"/>
              <w:ind w:left="-705" w:firstLine="705"/>
              <w:contextualSpacing/>
              <w:textAlignment w:val="center"/>
              <w:rPr>
                <w:rFonts w:cstheme="minorHAnsi"/>
                <w:color w:val="000000"/>
              </w:rPr>
            </w:pPr>
            <w:r w:rsidRPr="00BE3741">
              <w:rPr>
                <w:rFonts w:cstheme="minorHAnsi"/>
                <w:color w:val="000000"/>
              </w:rPr>
              <w:t>2</w:t>
            </w:r>
          </w:p>
        </w:tc>
        <w:tc>
          <w:tcPr>
            <w:tcW w:w="1440" w:type="dxa"/>
            <w:tcBorders>
              <w:top w:val="single" w:sz="8" w:space="0" w:color="FFFFFF"/>
              <w:left w:val="single" w:sz="8" w:space="0" w:color="FFFFFF"/>
              <w:bottom w:val="single" w:sz="8" w:space="0" w:color="FFFFFF"/>
              <w:right w:val="single" w:sz="8" w:space="0" w:color="FFFFFF"/>
            </w:tcBorders>
            <w:shd w:val="solid" w:color="84AC3E" w:fill="auto"/>
            <w:tcMar>
              <w:top w:w="80" w:type="dxa"/>
              <w:left w:w="80" w:type="dxa"/>
              <w:bottom w:w="80" w:type="dxa"/>
              <w:right w:w="80" w:type="dxa"/>
            </w:tcMar>
          </w:tcPr>
          <w:p w14:paraId="53837A42" w14:textId="77777777" w:rsidR="00BF6F95" w:rsidRPr="00BE3741" w:rsidRDefault="00BF6F95">
            <w:pPr>
              <w:suppressAutoHyphens/>
              <w:autoSpaceDE w:val="0"/>
              <w:autoSpaceDN w:val="0"/>
              <w:adjustRightInd w:val="0"/>
              <w:spacing w:after="0" w:line="240" w:lineRule="auto"/>
              <w:ind w:left="-705" w:firstLine="705"/>
              <w:contextualSpacing/>
              <w:textAlignment w:val="center"/>
              <w:rPr>
                <w:rFonts w:cstheme="minorHAnsi"/>
                <w:color w:val="000000"/>
              </w:rPr>
            </w:pPr>
            <w:r w:rsidRPr="00BE3741">
              <w:rPr>
                <w:rFonts w:cstheme="minorHAnsi"/>
                <w:color w:val="000000"/>
              </w:rPr>
              <w:t>3</w:t>
            </w:r>
          </w:p>
        </w:tc>
        <w:tc>
          <w:tcPr>
            <w:tcW w:w="1037" w:type="dxa"/>
            <w:tcBorders>
              <w:top w:val="single" w:sz="8" w:space="0" w:color="FFFFFF"/>
              <w:left w:val="single" w:sz="8" w:space="0" w:color="FFFFFF"/>
              <w:bottom w:val="single" w:sz="8" w:space="0" w:color="FFFFFF"/>
              <w:right w:val="single" w:sz="8" w:space="0" w:color="FFFFFF"/>
            </w:tcBorders>
            <w:shd w:val="solid" w:color="84AC3E" w:fill="auto"/>
            <w:tcMar>
              <w:top w:w="80" w:type="dxa"/>
              <w:left w:w="80" w:type="dxa"/>
              <w:bottom w:w="80" w:type="dxa"/>
              <w:right w:w="80" w:type="dxa"/>
            </w:tcMar>
          </w:tcPr>
          <w:p w14:paraId="75F61F79" w14:textId="77777777" w:rsidR="00BF6F95" w:rsidRPr="00BE3741" w:rsidRDefault="00BF6F95">
            <w:pPr>
              <w:suppressAutoHyphens/>
              <w:autoSpaceDE w:val="0"/>
              <w:autoSpaceDN w:val="0"/>
              <w:adjustRightInd w:val="0"/>
              <w:spacing w:after="0" w:line="240" w:lineRule="auto"/>
              <w:ind w:left="-705" w:firstLine="705"/>
              <w:contextualSpacing/>
              <w:textAlignment w:val="center"/>
              <w:rPr>
                <w:rFonts w:cstheme="minorHAnsi"/>
                <w:color w:val="000000"/>
              </w:rPr>
            </w:pPr>
            <w:r w:rsidRPr="00BE3741">
              <w:rPr>
                <w:rFonts w:cstheme="minorHAnsi"/>
                <w:color w:val="000000"/>
              </w:rPr>
              <w:t>3</w:t>
            </w:r>
          </w:p>
        </w:tc>
        <w:tc>
          <w:tcPr>
            <w:tcW w:w="1181" w:type="dxa"/>
            <w:tcBorders>
              <w:top w:val="single" w:sz="8" w:space="0" w:color="FFFFFF"/>
              <w:left w:val="single" w:sz="8" w:space="0" w:color="FFFFFF"/>
              <w:bottom w:val="single" w:sz="8" w:space="0" w:color="FFFFFF"/>
              <w:right w:val="single" w:sz="8" w:space="0" w:color="FFFFFF"/>
            </w:tcBorders>
            <w:shd w:val="solid" w:color="84AC3E" w:fill="auto"/>
            <w:tcMar>
              <w:top w:w="80" w:type="dxa"/>
              <w:left w:w="80" w:type="dxa"/>
              <w:bottom w:w="80" w:type="dxa"/>
              <w:right w:w="80" w:type="dxa"/>
            </w:tcMar>
          </w:tcPr>
          <w:p w14:paraId="7E225B91" w14:textId="77777777" w:rsidR="00BF6F95" w:rsidRPr="00BE3741" w:rsidRDefault="00BF6F95">
            <w:pPr>
              <w:suppressAutoHyphens/>
              <w:autoSpaceDE w:val="0"/>
              <w:autoSpaceDN w:val="0"/>
              <w:adjustRightInd w:val="0"/>
              <w:spacing w:after="0" w:line="240" w:lineRule="auto"/>
              <w:ind w:left="-705" w:firstLine="705"/>
              <w:contextualSpacing/>
              <w:textAlignment w:val="center"/>
              <w:rPr>
                <w:rFonts w:cstheme="minorHAnsi"/>
                <w:color w:val="000000"/>
              </w:rPr>
            </w:pPr>
            <w:r w:rsidRPr="00BE3741">
              <w:rPr>
                <w:rFonts w:cstheme="minorHAnsi"/>
                <w:color w:val="000000"/>
              </w:rPr>
              <w:t>3</w:t>
            </w:r>
          </w:p>
        </w:tc>
        <w:tc>
          <w:tcPr>
            <w:tcW w:w="1497" w:type="dxa"/>
            <w:tcBorders>
              <w:top w:val="single" w:sz="8" w:space="0" w:color="FFFFFF"/>
              <w:left w:val="single" w:sz="8" w:space="0" w:color="FFFFFF"/>
              <w:bottom w:val="single" w:sz="8" w:space="0" w:color="FFFFFF"/>
              <w:right w:val="single" w:sz="8" w:space="0" w:color="FFFFFF"/>
            </w:tcBorders>
            <w:shd w:val="solid" w:color="84AC3E" w:fill="auto"/>
            <w:tcMar>
              <w:top w:w="80" w:type="dxa"/>
              <w:left w:w="80" w:type="dxa"/>
              <w:bottom w:w="80" w:type="dxa"/>
              <w:right w:w="80" w:type="dxa"/>
            </w:tcMar>
          </w:tcPr>
          <w:p w14:paraId="071FB833" w14:textId="77777777" w:rsidR="00BF6F95" w:rsidRPr="00BE3741" w:rsidRDefault="00BF6F95">
            <w:pPr>
              <w:suppressAutoHyphens/>
              <w:autoSpaceDE w:val="0"/>
              <w:autoSpaceDN w:val="0"/>
              <w:adjustRightInd w:val="0"/>
              <w:spacing w:after="0" w:line="240" w:lineRule="auto"/>
              <w:ind w:left="-705" w:firstLine="705"/>
              <w:contextualSpacing/>
              <w:textAlignment w:val="center"/>
              <w:rPr>
                <w:rFonts w:cstheme="minorHAnsi"/>
                <w:color w:val="000000"/>
              </w:rPr>
            </w:pPr>
            <w:r>
              <w:rPr>
                <w:rFonts w:cstheme="minorHAnsi"/>
                <w:color w:val="000000"/>
              </w:rPr>
              <w:t>3</w:t>
            </w:r>
          </w:p>
        </w:tc>
        <w:tc>
          <w:tcPr>
            <w:tcW w:w="1099" w:type="dxa"/>
            <w:tcBorders>
              <w:top w:val="single" w:sz="8" w:space="0" w:color="FFFFFF"/>
              <w:left w:val="single" w:sz="8" w:space="0" w:color="FFFFFF"/>
              <w:bottom w:val="single" w:sz="8" w:space="0" w:color="FFFFFF"/>
              <w:right w:val="single" w:sz="8" w:space="0" w:color="FFFFFF"/>
            </w:tcBorders>
            <w:shd w:val="solid" w:color="84AC3E" w:fill="auto"/>
            <w:tcMar>
              <w:top w:w="80" w:type="dxa"/>
              <w:left w:w="80" w:type="dxa"/>
              <w:bottom w:w="80" w:type="dxa"/>
              <w:right w:w="80" w:type="dxa"/>
            </w:tcMar>
          </w:tcPr>
          <w:p w14:paraId="66EA2D01" w14:textId="77777777" w:rsidR="00BF6F95" w:rsidRPr="00BE3741" w:rsidRDefault="00BF6F95">
            <w:pPr>
              <w:suppressAutoHyphens/>
              <w:autoSpaceDE w:val="0"/>
              <w:autoSpaceDN w:val="0"/>
              <w:adjustRightInd w:val="0"/>
              <w:spacing w:after="0" w:line="240" w:lineRule="auto"/>
              <w:ind w:left="-705" w:firstLine="705"/>
              <w:contextualSpacing/>
              <w:textAlignment w:val="center"/>
              <w:rPr>
                <w:rFonts w:cstheme="minorHAnsi"/>
                <w:color w:val="000000"/>
              </w:rPr>
            </w:pPr>
            <w:r>
              <w:rPr>
                <w:rFonts w:cstheme="minorHAnsi"/>
                <w:color w:val="000000"/>
              </w:rPr>
              <w:t>3</w:t>
            </w:r>
          </w:p>
        </w:tc>
        <w:tc>
          <w:tcPr>
            <w:tcW w:w="936" w:type="dxa"/>
            <w:tcBorders>
              <w:top w:val="single" w:sz="8" w:space="0" w:color="FFFFFF"/>
              <w:left w:val="single" w:sz="8" w:space="0" w:color="FFFFFF"/>
              <w:bottom w:val="single" w:sz="8" w:space="0" w:color="FFFFFF"/>
              <w:right w:val="single" w:sz="8" w:space="0" w:color="FFFFFF"/>
            </w:tcBorders>
            <w:shd w:val="solid" w:color="84AC3E" w:fill="auto"/>
            <w:tcMar>
              <w:top w:w="80" w:type="dxa"/>
              <w:left w:w="80" w:type="dxa"/>
              <w:bottom w:w="80" w:type="dxa"/>
              <w:right w:w="80" w:type="dxa"/>
            </w:tcMar>
          </w:tcPr>
          <w:p w14:paraId="40CD6D35" w14:textId="77777777" w:rsidR="00BF6F95" w:rsidRPr="00BE3741" w:rsidRDefault="00BF6F95">
            <w:pPr>
              <w:suppressAutoHyphens/>
              <w:autoSpaceDE w:val="0"/>
              <w:autoSpaceDN w:val="0"/>
              <w:adjustRightInd w:val="0"/>
              <w:spacing w:after="0" w:line="240" w:lineRule="auto"/>
              <w:ind w:left="-705" w:firstLine="705"/>
              <w:contextualSpacing/>
              <w:textAlignment w:val="center"/>
              <w:rPr>
                <w:rFonts w:cstheme="minorHAnsi"/>
                <w:color w:val="000000"/>
              </w:rPr>
            </w:pPr>
            <w:r>
              <w:rPr>
                <w:rFonts w:cstheme="minorHAnsi"/>
                <w:color w:val="000000"/>
              </w:rPr>
              <w:t>6</w:t>
            </w:r>
          </w:p>
        </w:tc>
      </w:tr>
      <w:tr w:rsidR="00BF6F95" w:rsidRPr="00BE3741" w14:paraId="3765B4AC" w14:textId="77777777">
        <w:trPr>
          <w:trHeight w:val="25"/>
        </w:trPr>
        <w:tc>
          <w:tcPr>
            <w:tcW w:w="2265" w:type="dxa"/>
            <w:tcBorders>
              <w:top w:val="single" w:sz="8" w:space="0" w:color="FFFFFF"/>
              <w:left w:val="single" w:sz="8" w:space="0" w:color="FFFFFF"/>
              <w:bottom w:val="single" w:sz="8" w:space="0" w:color="FFFFFF"/>
              <w:right w:val="single" w:sz="8" w:space="0" w:color="FFFFFF"/>
            </w:tcBorders>
            <w:shd w:val="solid" w:color="11713F" w:fill="auto"/>
            <w:tcMar>
              <w:top w:w="80" w:type="dxa"/>
              <w:left w:w="80" w:type="dxa"/>
              <w:bottom w:w="80" w:type="dxa"/>
              <w:right w:w="80" w:type="dxa"/>
            </w:tcMar>
          </w:tcPr>
          <w:p w14:paraId="67276B82" w14:textId="77777777" w:rsidR="00BF6F95" w:rsidRPr="00BE3741" w:rsidRDefault="00BF6F95">
            <w:pPr>
              <w:suppressAutoHyphens/>
              <w:autoSpaceDE w:val="0"/>
              <w:autoSpaceDN w:val="0"/>
              <w:adjustRightInd w:val="0"/>
              <w:spacing w:after="0" w:line="240" w:lineRule="auto"/>
              <w:ind w:left="-705" w:firstLine="705"/>
              <w:contextualSpacing/>
              <w:textAlignment w:val="center"/>
              <w:rPr>
                <w:rFonts w:cstheme="minorHAnsi"/>
                <w:color w:val="000000"/>
              </w:rPr>
            </w:pPr>
            <w:r w:rsidRPr="00BE3741">
              <w:rPr>
                <w:rFonts w:cstheme="minorHAnsi"/>
                <w:color w:val="FFFFFF"/>
              </w:rPr>
              <w:t>Earthquake</w:t>
            </w:r>
          </w:p>
        </w:tc>
        <w:tc>
          <w:tcPr>
            <w:tcW w:w="1325" w:type="dxa"/>
            <w:tcBorders>
              <w:top w:val="single" w:sz="8" w:space="0" w:color="FFFFFF"/>
              <w:left w:val="single" w:sz="8" w:space="0" w:color="FFFFFF"/>
              <w:bottom w:val="single" w:sz="8" w:space="0" w:color="FFFFFF"/>
              <w:right w:val="single" w:sz="8" w:space="0" w:color="FFFFFF"/>
            </w:tcBorders>
            <w:shd w:val="solid" w:color="84AC3E" w:fill="auto"/>
            <w:tcMar>
              <w:top w:w="80" w:type="dxa"/>
              <w:left w:w="80" w:type="dxa"/>
              <w:bottom w:w="80" w:type="dxa"/>
              <w:right w:w="80" w:type="dxa"/>
            </w:tcMar>
          </w:tcPr>
          <w:p w14:paraId="6E543FC0" w14:textId="77777777" w:rsidR="00BF6F95" w:rsidRPr="00BE3741" w:rsidRDefault="00BF6F95">
            <w:pPr>
              <w:suppressAutoHyphens/>
              <w:autoSpaceDE w:val="0"/>
              <w:autoSpaceDN w:val="0"/>
              <w:adjustRightInd w:val="0"/>
              <w:spacing w:after="0" w:line="240" w:lineRule="auto"/>
              <w:ind w:left="-705" w:firstLine="705"/>
              <w:contextualSpacing/>
              <w:textAlignment w:val="center"/>
              <w:rPr>
                <w:rFonts w:cstheme="minorHAnsi"/>
                <w:color w:val="000000"/>
              </w:rPr>
            </w:pPr>
            <w:r w:rsidRPr="00BE3741">
              <w:rPr>
                <w:rFonts w:cstheme="minorHAnsi"/>
                <w:color w:val="000000"/>
              </w:rPr>
              <w:t>2</w:t>
            </w:r>
          </w:p>
        </w:tc>
        <w:tc>
          <w:tcPr>
            <w:tcW w:w="1440" w:type="dxa"/>
            <w:tcBorders>
              <w:top w:val="single" w:sz="8" w:space="0" w:color="FFFFFF"/>
              <w:left w:val="single" w:sz="8" w:space="0" w:color="FFFFFF"/>
              <w:bottom w:val="single" w:sz="8" w:space="0" w:color="FFFFFF"/>
              <w:right w:val="single" w:sz="8" w:space="0" w:color="FFFFFF"/>
            </w:tcBorders>
            <w:shd w:val="solid" w:color="84AC3E" w:fill="auto"/>
            <w:tcMar>
              <w:top w:w="80" w:type="dxa"/>
              <w:left w:w="80" w:type="dxa"/>
              <w:bottom w:w="80" w:type="dxa"/>
              <w:right w:w="80" w:type="dxa"/>
            </w:tcMar>
          </w:tcPr>
          <w:p w14:paraId="311EADAD" w14:textId="77777777" w:rsidR="00BF6F95" w:rsidRPr="00BE3741" w:rsidRDefault="00BF6F95">
            <w:pPr>
              <w:suppressAutoHyphens/>
              <w:autoSpaceDE w:val="0"/>
              <w:autoSpaceDN w:val="0"/>
              <w:adjustRightInd w:val="0"/>
              <w:spacing w:after="0" w:line="240" w:lineRule="auto"/>
              <w:ind w:left="-705" w:firstLine="705"/>
              <w:contextualSpacing/>
              <w:textAlignment w:val="center"/>
              <w:rPr>
                <w:rFonts w:cstheme="minorHAnsi"/>
                <w:color w:val="000000"/>
              </w:rPr>
            </w:pPr>
            <w:r>
              <w:rPr>
                <w:rFonts w:cstheme="minorHAnsi"/>
                <w:color w:val="000000"/>
              </w:rPr>
              <w:t>2</w:t>
            </w:r>
          </w:p>
        </w:tc>
        <w:tc>
          <w:tcPr>
            <w:tcW w:w="1037" w:type="dxa"/>
            <w:tcBorders>
              <w:top w:val="single" w:sz="8" w:space="0" w:color="FFFFFF"/>
              <w:left w:val="single" w:sz="8" w:space="0" w:color="FFFFFF"/>
              <w:bottom w:val="single" w:sz="8" w:space="0" w:color="FFFFFF"/>
              <w:right w:val="single" w:sz="8" w:space="0" w:color="FFFFFF"/>
            </w:tcBorders>
            <w:shd w:val="solid" w:color="84AC3E" w:fill="auto"/>
            <w:tcMar>
              <w:top w:w="80" w:type="dxa"/>
              <w:left w:w="80" w:type="dxa"/>
              <w:bottom w:w="80" w:type="dxa"/>
              <w:right w:w="80" w:type="dxa"/>
            </w:tcMar>
          </w:tcPr>
          <w:p w14:paraId="00F98252" w14:textId="77777777" w:rsidR="00BF6F95" w:rsidRPr="00BE3741" w:rsidRDefault="00BF6F95">
            <w:pPr>
              <w:suppressAutoHyphens/>
              <w:autoSpaceDE w:val="0"/>
              <w:autoSpaceDN w:val="0"/>
              <w:adjustRightInd w:val="0"/>
              <w:spacing w:after="0" w:line="240" w:lineRule="auto"/>
              <w:ind w:left="-705" w:firstLine="705"/>
              <w:contextualSpacing/>
              <w:textAlignment w:val="center"/>
              <w:rPr>
                <w:rFonts w:cstheme="minorHAnsi"/>
                <w:color w:val="000000"/>
              </w:rPr>
            </w:pPr>
            <w:r>
              <w:rPr>
                <w:rFonts w:cstheme="minorHAnsi"/>
                <w:color w:val="000000"/>
              </w:rPr>
              <w:t>2</w:t>
            </w:r>
          </w:p>
        </w:tc>
        <w:tc>
          <w:tcPr>
            <w:tcW w:w="1181" w:type="dxa"/>
            <w:tcBorders>
              <w:top w:val="single" w:sz="8" w:space="0" w:color="FFFFFF"/>
              <w:left w:val="single" w:sz="8" w:space="0" w:color="FFFFFF"/>
              <w:bottom w:val="single" w:sz="8" w:space="0" w:color="FFFFFF"/>
              <w:right w:val="single" w:sz="8" w:space="0" w:color="FFFFFF"/>
            </w:tcBorders>
            <w:shd w:val="solid" w:color="84AC3E" w:fill="auto"/>
            <w:tcMar>
              <w:top w:w="80" w:type="dxa"/>
              <w:left w:w="80" w:type="dxa"/>
              <w:bottom w:w="80" w:type="dxa"/>
              <w:right w:w="80" w:type="dxa"/>
            </w:tcMar>
          </w:tcPr>
          <w:p w14:paraId="7F09274D" w14:textId="77777777" w:rsidR="00BF6F95" w:rsidRPr="00BE3741" w:rsidRDefault="00BF6F95">
            <w:pPr>
              <w:suppressAutoHyphens/>
              <w:autoSpaceDE w:val="0"/>
              <w:autoSpaceDN w:val="0"/>
              <w:adjustRightInd w:val="0"/>
              <w:spacing w:after="0" w:line="240" w:lineRule="auto"/>
              <w:ind w:left="-705" w:firstLine="705"/>
              <w:contextualSpacing/>
              <w:textAlignment w:val="center"/>
              <w:rPr>
                <w:rFonts w:cstheme="minorHAnsi"/>
                <w:color w:val="000000"/>
              </w:rPr>
            </w:pPr>
            <w:r>
              <w:rPr>
                <w:rFonts w:cstheme="minorHAnsi"/>
                <w:color w:val="000000"/>
              </w:rPr>
              <w:t>2</w:t>
            </w:r>
          </w:p>
        </w:tc>
        <w:tc>
          <w:tcPr>
            <w:tcW w:w="1497" w:type="dxa"/>
            <w:tcBorders>
              <w:top w:val="single" w:sz="8" w:space="0" w:color="FFFFFF"/>
              <w:left w:val="single" w:sz="8" w:space="0" w:color="FFFFFF"/>
              <w:bottom w:val="single" w:sz="8" w:space="0" w:color="FFFFFF"/>
              <w:right w:val="single" w:sz="8" w:space="0" w:color="FFFFFF"/>
            </w:tcBorders>
            <w:shd w:val="solid" w:color="84AC3E" w:fill="auto"/>
            <w:tcMar>
              <w:top w:w="80" w:type="dxa"/>
              <w:left w:w="80" w:type="dxa"/>
              <w:bottom w:w="80" w:type="dxa"/>
              <w:right w:w="80" w:type="dxa"/>
            </w:tcMar>
          </w:tcPr>
          <w:p w14:paraId="1D35B8ED" w14:textId="77777777" w:rsidR="00BF6F95" w:rsidRPr="00BE3741" w:rsidRDefault="00BF6F95">
            <w:pPr>
              <w:suppressAutoHyphens/>
              <w:autoSpaceDE w:val="0"/>
              <w:autoSpaceDN w:val="0"/>
              <w:adjustRightInd w:val="0"/>
              <w:spacing w:after="0" w:line="240" w:lineRule="auto"/>
              <w:ind w:left="-705" w:firstLine="705"/>
              <w:contextualSpacing/>
              <w:textAlignment w:val="center"/>
              <w:rPr>
                <w:rFonts w:cstheme="minorHAnsi"/>
                <w:color w:val="000000"/>
              </w:rPr>
            </w:pPr>
            <w:r w:rsidRPr="00BE3741">
              <w:rPr>
                <w:rFonts w:cstheme="minorHAnsi"/>
                <w:color w:val="000000"/>
              </w:rPr>
              <w:t>2</w:t>
            </w:r>
          </w:p>
        </w:tc>
        <w:tc>
          <w:tcPr>
            <w:tcW w:w="1099" w:type="dxa"/>
            <w:tcBorders>
              <w:top w:val="single" w:sz="8" w:space="0" w:color="FFFFFF"/>
              <w:left w:val="single" w:sz="8" w:space="0" w:color="FFFFFF"/>
              <w:bottom w:val="single" w:sz="8" w:space="0" w:color="FFFFFF"/>
              <w:right w:val="single" w:sz="8" w:space="0" w:color="FFFFFF"/>
            </w:tcBorders>
            <w:shd w:val="solid" w:color="84AC3E" w:fill="auto"/>
            <w:tcMar>
              <w:top w:w="80" w:type="dxa"/>
              <w:left w:w="80" w:type="dxa"/>
              <w:bottom w:w="80" w:type="dxa"/>
              <w:right w:w="80" w:type="dxa"/>
            </w:tcMar>
          </w:tcPr>
          <w:p w14:paraId="3104162B" w14:textId="77777777" w:rsidR="00BF6F95" w:rsidRPr="00BE3741" w:rsidRDefault="00BF6F95">
            <w:pPr>
              <w:suppressAutoHyphens/>
              <w:autoSpaceDE w:val="0"/>
              <w:autoSpaceDN w:val="0"/>
              <w:adjustRightInd w:val="0"/>
              <w:spacing w:after="0" w:line="240" w:lineRule="auto"/>
              <w:ind w:left="-705" w:firstLine="705"/>
              <w:contextualSpacing/>
              <w:textAlignment w:val="center"/>
              <w:rPr>
                <w:rFonts w:cstheme="minorHAnsi"/>
                <w:color w:val="000000"/>
              </w:rPr>
            </w:pPr>
            <w:r w:rsidRPr="00BE3741">
              <w:rPr>
                <w:rFonts w:cstheme="minorHAnsi"/>
                <w:color w:val="000000"/>
              </w:rPr>
              <w:t>2</w:t>
            </w:r>
          </w:p>
        </w:tc>
        <w:tc>
          <w:tcPr>
            <w:tcW w:w="936" w:type="dxa"/>
            <w:tcBorders>
              <w:top w:val="single" w:sz="8" w:space="0" w:color="FFFFFF"/>
              <w:left w:val="single" w:sz="8" w:space="0" w:color="FFFFFF"/>
              <w:bottom w:val="single" w:sz="8" w:space="0" w:color="FFFFFF"/>
              <w:right w:val="single" w:sz="8" w:space="0" w:color="FFFFFF"/>
            </w:tcBorders>
            <w:shd w:val="solid" w:color="84AC3E" w:fill="auto"/>
            <w:tcMar>
              <w:top w:w="80" w:type="dxa"/>
              <w:left w:w="80" w:type="dxa"/>
              <w:bottom w:w="80" w:type="dxa"/>
              <w:right w:w="80" w:type="dxa"/>
            </w:tcMar>
          </w:tcPr>
          <w:p w14:paraId="04D340B3" w14:textId="77777777" w:rsidR="00BF6F95" w:rsidRPr="00BE3741" w:rsidRDefault="00BF6F95">
            <w:pPr>
              <w:suppressAutoHyphens/>
              <w:autoSpaceDE w:val="0"/>
              <w:autoSpaceDN w:val="0"/>
              <w:adjustRightInd w:val="0"/>
              <w:spacing w:after="0" w:line="240" w:lineRule="auto"/>
              <w:ind w:left="-705" w:firstLine="705"/>
              <w:contextualSpacing/>
              <w:textAlignment w:val="center"/>
              <w:rPr>
                <w:rFonts w:cstheme="minorHAnsi"/>
                <w:color w:val="000000"/>
              </w:rPr>
            </w:pPr>
            <w:r>
              <w:rPr>
                <w:rFonts w:cstheme="minorHAnsi"/>
                <w:color w:val="000000"/>
              </w:rPr>
              <w:t>4</w:t>
            </w:r>
          </w:p>
        </w:tc>
      </w:tr>
      <w:tr w:rsidR="00BF6F95" w:rsidRPr="00BE3741" w14:paraId="739FC097" w14:textId="77777777">
        <w:trPr>
          <w:trHeight w:val="25"/>
        </w:trPr>
        <w:tc>
          <w:tcPr>
            <w:tcW w:w="2265" w:type="dxa"/>
            <w:tcBorders>
              <w:top w:val="single" w:sz="8" w:space="0" w:color="FFFFFF"/>
              <w:left w:val="single" w:sz="8" w:space="0" w:color="FFFFFF"/>
              <w:bottom w:val="single" w:sz="8" w:space="0" w:color="FFFFFF"/>
              <w:right w:val="single" w:sz="8" w:space="0" w:color="FFFFFF"/>
            </w:tcBorders>
            <w:shd w:val="solid" w:color="11713F" w:fill="auto"/>
            <w:tcMar>
              <w:top w:w="80" w:type="dxa"/>
              <w:left w:w="80" w:type="dxa"/>
              <w:bottom w:w="80" w:type="dxa"/>
              <w:right w:w="80" w:type="dxa"/>
            </w:tcMar>
          </w:tcPr>
          <w:p w14:paraId="53D0F350" w14:textId="77777777" w:rsidR="00BF6F95" w:rsidRPr="00BE3741" w:rsidRDefault="00BF6F95">
            <w:pPr>
              <w:suppressAutoHyphens/>
              <w:autoSpaceDE w:val="0"/>
              <w:autoSpaceDN w:val="0"/>
              <w:adjustRightInd w:val="0"/>
              <w:spacing w:after="0" w:line="240" w:lineRule="auto"/>
              <w:ind w:left="-705" w:firstLine="705"/>
              <w:contextualSpacing/>
              <w:textAlignment w:val="center"/>
              <w:rPr>
                <w:rFonts w:cstheme="minorHAnsi"/>
                <w:color w:val="000000"/>
              </w:rPr>
            </w:pPr>
            <w:r w:rsidRPr="00BE3741">
              <w:rPr>
                <w:rFonts w:cstheme="minorHAnsi"/>
                <w:color w:val="FFFFFF"/>
              </w:rPr>
              <w:t>Hail</w:t>
            </w:r>
          </w:p>
        </w:tc>
        <w:tc>
          <w:tcPr>
            <w:tcW w:w="1325" w:type="dxa"/>
            <w:tcBorders>
              <w:top w:val="single" w:sz="8" w:space="0" w:color="FFFFFF"/>
              <w:left w:val="single" w:sz="8" w:space="0" w:color="FFFFFF"/>
              <w:bottom w:val="single" w:sz="8" w:space="0" w:color="FFFFFF"/>
              <w:right w:val="single" w:sz="8" w:space="0" w:color="FFFFFF"/>
            </w:tcBorders>
            <w:shd w:val="solid" w:color="84AC3E" w:fill="auto"/>
            <w:tcMar>
              <w:top w:w="80" w:type="dxa"/>
              <w:left w:w="80" w:type="dxa"/>
              <w:bottom w:w="80" w:type="dxa"/>
              <w:right w:w="80" w:type="dxa"/>
            </w:tcMar>
          </w:tcPr>
          <w:p w14:paraId="1213332F" w14:textId="77777777" w:rsidR="00BF6F95" w:rsidRPr="00BE3741" w:rsidRDefault="00BF6F95">
            <w:pPr>
              <w:suppressAutoHyphens/>
              <w:autoSpaceDE w:val="0"/>
              <w:autoSpaceDN w:val="0"/>
              <w:adjustRightInd w:val="0"/>
              <w:spacing w:after="0" w:line="240" w:lineRule="auto"/>
              <w:ind w:left="-705" w:firstLine="705"/>
              <w:contextualSpacing/>
              <w:textAlignment w:val="center"/>
              <w:rPr>
                <w:rFonts w:cstheme="minorHAnsi"/>
                <w:color w:val="000000"/>
              </w:rPr>
            </w:pPr>
            <w:r w:rsidRPr="00BE3741">
              <w:rPr>
                <w:rFonts w:cstheme="minorHAnsi"/>
                <w:color w:val="000000"/>
              </w:rPr>
              <w:t>3</w:t>
            </w:r>
          </w:p>
        </w:tc>
        <w:tc>
          <w:tcPr>
            <w:tcW w:w="1440" w:type="dxa"/>
            <w:tcBorders>
              <w:top w:val="single" w:sz="8" w:space="0" w:color="FFFFFF"/>
              <w:left w:val="single" w:sz="8" w:space="0" w:color="FFFFFF"/>
              <w:bottom w:val="single" w:sz="8" w:space="0" w:color="FFFFFF"/>
              <w:right w:val="single" w:sz="8" w:space="0" w:color="FFFFFF"/>
            </w:tcBorders>
            <w:shd w:val="solid" w:color="84AC3E" w:fill="auto"/>
            <w:tcMar>
              <w:top w:w="80" w:type="dxa"/>
              <w:left w:w="80" w:type="dxa"/>
              <w:bottom w:w="80" w:type="dxa"/>
              <w:right w:w="80" w:type="dxa"/>
            </w:tcMar>
          </w:tcPr>
          <w:p w14:paraId="059F53DD" w14:textId="77777777" w:rsidR="00BF6F95" w:rsidRPr="00BE3741" w:rsidRDefault="00BF6F95">
            <w:pPr>
              <w:suppressAutoHyphens/>
              <w:autoSpaceDE w:val="0"/>
              <w:autoSpaceDN w:val="0"/>
              <w:adjustRightInd w:val="0"/>
              <w:spacing w:after="0" w:line="240" w:lineRule="auto"/>
              <w:ind w:left="-705" w:firstLine="705"/>
              <w:contextualSpacing/>
              <w:textAlignment w:val="center"/>
              <w:rPr>
                <w:rFonts w:cstheme="minorHAnsi"/>
                <w:color w:val="000000"/>
              </w:rPr>
            </w:pPr>
            <w:r w:rsidRPr="00BE3741">
              <w:rPr>
                <w:rFonts w:cstheme="minorHAnsi"/>
                <w:color w:val="000000"/>
              </w:rPr>
              <w:t>1</w:t>
            </w:r>
          </w:p>
        </w:tc>
        <w:tc>
          <w:tcPr>
            <w:tcW w:w="1037" w:type="dxa"/>
            <w:tcBorders>
              <w:top w:val="single" w:sz="8" w:space="0" w:color="FFFFFF"/>
              <w:left w:val="single" w:sz="8" w:space="0" w:color="FFFFFF"/>
              <w:bottom w:val="single" w:sz="8" w:space="0" w:color="FFFFFF"/>
              <w:right w:val="single" w:sz="8" w:space="0" w:color="FFFFFF"/>
            </w:tcBorders>
            <w:shd w:val="solid" w:color="84AC3E" w:fill="auto"/>
            <w:tcMar>
              <w:top w:w="80" w:type="dxa"/>
              <w:left w:w="80" w:type="dxa"/>
              <w:bottom w:w="80" w:type="dxa"/>
              <w:right w:w="80" w:type="dxa"/>
            </w:tcMar>
          </w:tcPr>
          <w:p w14:paraId="4C610B31" w14:textId="77777777" w:rsidR="00BF6F95" w:rsidRPr="00BE3741" w:rsidRDefault="00BF6F95">
            <w:pPr>
              <w:suppressAutoHyphens/>
              <w:autoSpaceDE w:val="0"/>
              <w:autoSpaceDN w:val="0"/>
              <w:adjustRightInd w:val="0"/>
              <w:spacing w:after="0" w:line="240" w:lineRule="auto"/>
              <w:ind w:left="-705" w:firstLine="705"/>
              <w:contextualSpacing/>
              <w:textAlignment w:val="center"/>
              <w:rPr>
                <w:rFonts w:cstheme="minorHAnsi"/>
                <w:color w:val="000000"/>
              </w:rPr>
            </w:pPr>
            <w:r w:rsidRPr="00BE3741">
              <w:rPr>
                <w:rFonts w:cstheme="minorHAnsi"/>
                <w:color w:val="000000"/>
              </w:rPr>
              <w:t>1</w:t>
            </w:r>
          </w:p>
        </w:tc>
        <w:tc>
          <w:tcPr>
            <w:tcW w:w="1181" w:type="dxa"/>
            <w:tcBorders>
              <w:top w:val="single" w:sz="8" w:space="0" w:color="FFFFFF"/>
              <w:left w:val="single" w:sz="8" w:space="0" w:color="FFFFFF"/>
              <w:bottom w:val="single" w:sz="8" w:space="0" w:color="FFFFFF"/>
              <w:right w:val="single" w:sz="8" w:space="0" w:color="FFFFFF"/>
            </w:tcBorders>
            <w:shd w:val="solid" w:color="84AC3E" w:fill="auto"/>
            <w:tcMar>
              <w:top w:w="80" w:type="dxa"/>
              <w:left w:w="80" w:type="dxa"/>
              <w:bottom w:w="80" w:type="dxa"/>
              <w:right w:w="80" w:type="dxa"/>
            </w:tcMar>
          </w:tcPr>
          <w:p w14:paraId="41F742B3" w14:textId="77777777" w:rsidR="00BF6F95" w:rsidRPr="00BE3741" w:rsidRDefault="00BF6F95">
            <w:pPr>
              <w:suppressAutoHyphens/>
              <w:autoSpaceDE w:val="0"/>
              <w:autoSpaceDN w:val="0"/>
              <w:adjustRightInd w:val="0"/>
              <w:spacing w:after="0" w:line="240" w:lineRule="auto"/>
              <w:ind w:left="-705" w:firstLine="705"/>
              <w:contextualSpacing/>
              <w:textAlignment w:val="center"/>
              <w:rPr>
                <w:rFonts w:cstheme="minorHAnsi"/>
                <w:color w:val="000000"/>
              </w:rPr>
            </w:pPr>
            <w:r>
              <w:rPr>
                <w:rFonts w:cstheme="minorHAnsi"/>
                <w:color w:val="000000"/>
              </w:rPr>
              <w:t>2</w:t>
            </w:r>
          </w:p>
        </w:tc>
        <w:tc>
          <w:tcPr>
            <w:tcW w:w="1497" w:type="dxa"/>
            <w:tcBorders>
              <w:top w:val="single" w:sz="8" w:space="0" w:color="FFFFFF"/>
              <w:left w:val="single" w:sz="8" w:space="0" w:color="FFFFFF"/>
              <w:bottom w:val="single" w:sz="8" w:space="0" w:color="FFFFFF"/>
              <w:right w:val="single" w:sz="8" w:space="0" w:color="FFFFFF"/>
            </w:tcBorders>
            <w:shd w:val="solid" w:color="84AC3E" w:fill="auto"/>
            <w:tcMar>
              <w:top w:w="80" w:type="dxa"/>
              <w:left w:w="80" w:type="dxa"/>
              <w:bottom w:w="80" w:type="dxa"/>
              <w:right w:w="80" w:type="dxa"/>
            </w:tcMar>
          </w:tcPr>
          <w:p w14:paraId="45C69615" w14:textId="77777777" w:rsidR="00BF6F95" w:rsidRPr="00BE3741" w:rsidRDefault="00BF6F95">
            <w:pPr>
              <w:suppressAutoHyphens/>
              <w:autoSpaceDE w:val="0"/>
              <w:autoSpaceDN w:val="0"/>
              <w:adjustRightInd w:val="0"/>
              <w:spacing w:after="0" w:line="240" w:lineRule="auto"/>
              <w:ind w:left="-705" w:firstLine="705"/>
              <w:contextualSpacing/>
              <w:textAlignment w:val="center"/>
              <w:rPr>
                <w:rFonts w:cstheme="minorHAnsi"/>
                <w:color w:val="000000"/>
              </w:rPr>
            </w:pPr>
            <w:r w:rsidRPr="00BE3741">
              <w:rPr>
                <w:rFonts w:cstheme="minorHAnsi"/>
                <w:color w:val="000000"/>
              </w:rPr>
              <w:t>1</w:t>
            </w:r>
          </w:p>
        </w:tc>
        <w:tc>
          <w:tcPr>
            <w:tcW w:w="1099" w:type="dxa"/>
            <w:tcBorders>
              <w:top w:val="single" w:sz="8" w:space="0" w:color="FFFFFF"/>
              <w:left w:val="single" w:sz="8" w:space="0" w:color="FFFFFF"/>
              <w:bottom w:val="single" w:sz="8" w:space="0" w:color="FFFFFF"/>
              <w:right w:val="single" w:sz="8" w:space="0" w:color="FFFFFF"/>
            </w:tcBorders>
            <w:shd w:val="solid" w:color="84AC3E" w:fill="auto"/>
            <w:tcMar>
              <w:top w:w="80" w:type="dxa"/>
              <w:left w:w="80" w:type="dxa"/>
              <w:bottom w:w="80" w:type="dxa"/>
              <w:right w:w="80" w:type="dxa"/>
            </w:tcMar>
          </w:tcPr>
          <w:p w14:paraId="6E788149" w14:textId="77777777" w:rsidR="00BF6F95" w:rsidRPr="00BE3741" w:rsidRDefault="00BF6F95">
            <w:pPr>
              <w:suppressAutoHyphens/>
              <w:autoSpaceDE w:val="0"/>
              <w:autoSpaceDN w:val="0"/>
              <w:adjustRightInd w:val="0"/>
              <w:spacing w:after="0" w:line="240" w:lineRule="auto"/>
              <w:ind w:left="-705" w:firstLine="705"/>
              <w:contextualSpacing/>
              <w:textAlignment w:val="center"/>
              <w:rPr>
                <w:rFonts w:cstheme="minorHAnsi"/>
                <w:color w:val="000000"/>
              </w:rPr>
            </w:pPr>
            <w:r w:rsidRPr="00BE3741">
              <w:rPr>
                <w:rFonts w:cstheme="minorHAnsi"/>
                <w:color w:val="000000"/>
              </w:rPr>
              <w:t>1</w:t>
            </w:r>
            <w:r>
              <w:rPr>
                <w:rFonts w:cstheme="minorHAnsi"/>
                <w:color w:val="000000"/>
              </w:rPr>
              <w:t>.25</w:t>
            </w:r>
          </w:p>
        </w:tc>
        <w:tc>
          <w:tcPr>
            <w:tcW w:w="936" w:type="dxa"/>
            <w:tcBorders>
              <w:top w:val="single" w:sz="8" w:space="0" w:color="FFFFFF"/>
              <w:left w:val="single" w:sz="8" w:space="0" w:color="FFFFFF"/>
              <w:bottom w:val="single" w:sz="8" w:space="0" w:color="FFFFFF"/>
              <w:right w:val="single" w:sz="8" w:space="0" w:color="FFFFFF"/>
            </w:tcBorders>
            <w:shd w:val="solid" w:color="84AC3E" w:fill="auto"/>
            <w:tcMar>
              <w:top w:w="80" w:type="dxa"/>
              <w:left w:w="80" w:type="dxa"/>
              <w:bottom w:w="80" w:type="dxa"/>
              <w:right w:w="80" w:type="dxa"/>
            </w:tcMar>
          </w:tcPr>
          <w:p w14:paraId="2004CFAC" w14:textId="77777777" w:rsidR="00BF6F95" w:rsidRPr="00BE3741" w:rsidRDefault="00BF6F95">
            <w:pPr>
              <w:suppressAutoHyphens/>
              <w:autoSpaceDE w:val="0"/>
              <w:autoSpaceDN w:val="0"/>
              <w:adjustRightInd w:val="0"/>
              <w:spacing w:after="0" w:line="240" w:lineRule="auto"/>
              <w:ind w:left="-705" w:firstLine="705"/>
              <w:contextualSpacing/>
              <w:textAlignment w:val="center"/>
              <w:rPr>
                <w:rFonts w:cstheme="minorHAnsi"/>
                <w:color w:val="000000"/>
              </w:rPr>
            </w:pPr>
            <w:r w:rsidRPr="00BE3741">
              <w:rPr>
                <w:rFonts w:cstheme="minorHAnsi"/>
                <w:color w:val="000000"/>
              </w:rPr>
              <w:t>3</w:t>
            </w:r>
            <w:r>
              <w:rPr>
                <w:rFonts w:cstheme="minorHAnsi"/>
                <w:color w:val="000000"/>
              </w:rPr>
              <w:t>.75</w:t>
            </w:r>
          </w:p>
        </w:tc>
      </w:tr>
      <w:tr w:rsidR="00BF6F95" w:rsidRPr="00BE3741" w14:paraId="367F5760" w14:textId="77777777">
        <w:trPr>
          <w:trHeight w:val="25"/>
        </w:trPr>
        <w:tc>
          <w:tcPr>
            <w:tcW w:w="10780" w:type="dxa"/>
            <w:gridSpan w:val="8"/>
            <w:tcBorders>
              <w:top w:val="single" w:sz="8" w:space="0" w:color="FFFFFF"/>
              <w:left w:val="single" w:sz="8" w:space="0" w:color="FFFFFF"/>
              <w:bottom w:val="single" w:sz="8" w:space="0" w:color="FFFFFF"/>
              <w:right w:val="single" w:sz="8" w:space="0" w:color="FFFFFF"/>
            </w:tcBorders>
            <w:shd w:val="clear" w:color="auto" w:fill="D0CECE" w:themeFill="background2" w:themeFillShade="E6"/>
            <w:tcMar>
              <w:top w:w="80" w:type="dxa"/>
              <w:left w:w="80" w:type="dxa"/>
              <w:bottom w:w="80" w:type="dxa"/>
              <w:right w:w="80" w:type="dxa"/>
            </w:tcMar>
          </w:tcPr>
          <w:p w14:paraId="52AC4928" w14:textId="77777777" w:rsidR="00BF6F95" w:rsidRPr="00BE3741" w:rsidRDefault="00BF6F95">
            <w:pPr>
              <w:suppressAutoHyphens/>
              <w:autoSpaceDE w:val="0"/>
              <w:autoSpaceDN w:val="0"/>
              <w:adjustRightInd w:val="0"/>
              <w:spacing w:after="0" w:line="240" w:lineRule="auto"/>
              <w:ind w:left="-705" w:firstLine="705"/>
              <w:contextualSpacing/>
              <w:textAlignment w:val="center"/>
              <w:rPr>
                <w:rFonts w:cstheme="minorHAnsi"/>
                <w:color w:val="000000"/>
              </w:rPr>
            </w:pPr>
            <w:r w:rsidRPr="00BE3741">
              <w:rPr>
                <w:rFonts w:cstheme="minorHAnsi"/>
                <w:color w:val="000000"/>
              </w:rPr>
              <w:t xml:space="preserve">*Score = Probability x Average Potential Impact </w:t>
            </w:r>
          </w:p>
        </w:tc>
      </w:tr>
    </w:tbl>
    <w:p w14:paraId="4F09210F" w14:textId="77777777" w:rsidR="005861FD" w:rsidRDefault="005861FD" w:rsidP="00BA2D76">
      <w:pPr>
        <w:pStyle w:val="BasicParagraph"/>
        <w:rPr>
          <w:sz w:val="22"/>
        </w:rPr>
      </w:pPr>
    </w:p>
    <w:p w14:paraId="4C9C2246" w14:textId="77777777" w:rsidR="00CB5CB1" w:rsidRDefault="00CB5CB1" w:rsidP="00BA2D76">
      <w:pPr>
        <w:pStyle w:val="BasicParagraph"/>
        <w:rPr>
          <w:sz w:val="22"/>
        </w:rPr>
      </w:pPr>
    </w:p>
    <w:p w14:paraId="332C75BD" w14:textId="77777777" w:rsidR="00CB5CB1" w:rsidRDefault="00CB5CB1" w:rsidP="00BA2D76">
      <w:pPr>
        <w:pStyle w:val="BasicParagraph"/>
        <w:rPr>
          <w:sz w:val="22"/>
        </w:rPr>
      </w:pPr>
    </w:p>
    <w:tbl>
      <w:tblPr>
        <w:tblW w:w="10170" w:type="dxa"/>
        <w:tblInd w:w="-10" w:type="dxa"/>
        <w:tblLayout w:type="fixed"/>
        <w:tblCellMar>
          <w:left w:w="0" w:type="dxa"/>
          <w:right w:w="0" w:type="dxa"/>
        </w:tblCellMar>
        <w:tblLook w:val="0000" w:firstRow="0" w:lastRow="0" w:firstColumn="0" w:lastColumn="0" w:noHBand="0" w:noVBand="0"/>
      </w:tblPr>
      <w:tblGrid>
        <w:gridCol w:w="364"/>
        <w:gridCol w:w="4046"/>
        <w:gridCol w:w="5760"/>
      </w:tblGrid>
      <w:tr w:rsidR="00BA2D76" w14:paraId="3ECA0791" w14:textId="77777777" w:rsidTr="7018EF62">
        <w:trPr>
          <w:trHeight w:val="25"/>
        </w:trPr>
        <w:tc>
          <w:tcPr>
            <w:tcW w:w="10170" w:type="dxa"/>
            <w:gridSpan w:val="3"/>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6F6F6F"/>
            <w:tcMar>
              <w:top w:w="80" w:type="dxa"/>
              <w:left w:w="80" w:type="dxa"/>
              <w:bottom w:w="80" w:type="dxa"/>
              <w:right w:w="80" w:type="dxa"/>
            </w:tcMar>
          </w:tcPr>
          <w:p w14:paraId="3ECA0790" w14:textId="290E1A55" w:rsidR="00BA2D76" w:rsidRPr="00BA2D76" w:rsidRDefault="00BA2D76">
            <w:pPr>
              <w:pStyle w:val="Tables"/>
              <w:rPr>
                <w:sz w:val="20"/>
                <w:szCs w:val="20"/>
              </w:rPr>
            </w:pPr>
            <w:r w:rsidRPr="7018EF62">
              <w:rPr>
                <w:b/>
                <w:color w:val="FFFFFF" w:themeColor="background1"/>
                <w:sz w:val="20"/>
                <w:szCs w:val="20"/>
              </w:rPr>
              <w:t>Table 17: Hazard Assessment Ranking Criteria</w:t>
            </w:r>
          </w:p>
        </w:tc>
      </w:tr>
      <w:tr w:rsidR="00BA2D76" w14:paraId="3ECA0797" w14:textId="77777777" w:rsidTr="7018EF62">
        <w:trPr>
          <w:trHeight w:val="25"/>
        </w:trPr>
        <w:tc>
          <w:tcPr>
            <w:tcW w:w="36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6F6F6F"/>
            <w:tcMar>
              <w:top w:w="80" w:type="dxa"/>
              <w:left w:w="80" w:type="dxa"/>
              <w:bottom w:w="80" w:type="dxa"/>
              <w:right w:w="80" w:type="dxa"/>
            </w:tcMar>
          </w:tcPr>
          <w:p w14:paraId="3ECA0792" w14:textId="77777777" w:rsidR="00BA2D76" w:rsidRPr="00BA2D76" w:rsidRDefault="00BA2D76">
            <w:pPr>
              <w:pStyle w:val="NoParagraphStyle"/>
              <w:spacing w:line="240" w:lineRule="auto"/>
              <w:textAlignment w:val="auto"/>
              <w:rPr>
                <w:color w:val="auto"/>
                <w:sz w:val="20"/>
                <w:szCs w:val="20"/>
              </w:rPr>
            </w:pPr>
          </w:p>
        </w:tc>
        <w:tc>
          <w:tcPr>
            <w:tcW w:w="404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DEDE"/>
            <w:tcMar>
              <w:top w:w="80" w:type="dxa"/>
              <w:left w:w="80" w:type="dxa"/>
              <w:bottom w:w="80" w:type="dxa"/>
              <w:right w:w="80" w:type="dxa"/>
            </w:tcMar>
          </w:tcPr>
          <w:p w14:paraId="3ECA0793" w14:textId="77777777" w:rsidR="00BA2D76" w:rsidRPr="00BA2D76" w:rsidRDefault="00BA2D76">
            <w:pPr>
              <w:pStyle w:val="BasicParagraph"/>
              <w:rPr>
                <w:sz w:val="20"/>
                <w:szCs w:val="20"/>
              </w:rPr>
            </w:pPr>
            <w:r w:rsidRPr="00BA2D76">
              <w:rPr>
                <w:b/>
                <w:bCs/>
                <w:sz w:val="20"/>
                <w:szCs w:val="20"/>
              </w:rPr>
              <w:t>Frequency of Occurrence:</w:t>
            </w:r>
            <w:r w:rsidRPr="00BA2D76">
              <w:rPr>
                <w:sz w:val="20"/>
                <w:szCs w:val="20"/>
              </w:rPr>
              <w:t xml:space="preserve"> </w:t>
            </w:r>
          </w:p>
          <w:p w14:paraId="3ECA0794" w14:textId="471D228E" w:rsidR="00BA2D76" w:rsidRPr="00BA2D76" w:rsidRDefault="00BA2D76">
            <w:pPr>
              <w:pStyle w:val="BasicParagraph"/>
              <w:rPr>
                <w:sz w:val="20"/>
                <w:szCs w:val="20"/>
              </w:rPr>
            </w:pPr>
            <w:r w:rsidRPr="00BA2D76">
              <w:rPr>
                <w:sz w:val="20"/>
                <w:szCs w:val="20"/>
              </w:rPr>
              <w:t>Probability of a plausibly significant event</w:t>
            </w:r>
            <w:r w:rsidR="00B468F4">
              <w:rPr>
                <w:sz w:val="20"/>
                <w:szCs w:val="20"/>
              </w:rPr>
              <w:t xml:space="preserve"> </w:t>
            </w:r>
            <w:r w:rsidR="00E2656A" w:rsidRPr="00843171">
              <w:rPr>
                <w:sz w:val="20"/>
                <w:szCs w:val="20"/>
              </w:rPr>
              <w:t>impacting the community or regional scale</w:t>
            </w:r>
            <w:r w:rsidR="00B468F4">
              <w:rPr>
                <w:sz w:val="20"/>
                <w:szCs w:val="20"/>
              </w:rPr>
              <w:t xml:space="preserve"> based on previous occurrences and climate change projections. </w:t>
            </w:r>
          </w:p>
        </w:tc>
        <w:tc>
          <w:tcPr>
            <w:tcW w:w="57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DEDE"/>
            <w:tcMar>
              <w:top w:w="80" w:type="dxa"/>
              <w:left w:w="80" w:type="dxa"/>
              <w:bottom w:w="80" w:type="dxa"/>
              <w:right w:w="80" w:type="dxa"/>
            </w:tcMar>
          </w:tcPr>
          <w:p w14:paraId="3ECA0795" w14:textId="77777777" w:rsidR="00BA2D76" w:rsidRPr="00BA2D76" w:rsidRDefault="00BA2D76">
            <w:pPr>
              <w:pStyle w:val="BasicParagraph"/>
              <w:rPr>
                <w:b/>
                <w:bCs/>
                <w:sz w:val="20"/>
                <w:szCs w:val="20"/>
              </w:rPr>
            </w:pPr>
            <w:r w:rsidRPr="00BA2D76">
              <w:rPr>
                <w:b/>
                <w:bCs/>
                <w:sz w:val="20"/>
                <w:szCs w:val="20"/>
              </w:rPr>
              <w:t xml:space="preserve">Potential Impact: </w:t>
            </w:r>
          </w:p>
          <w:p w14:paraId="3ECA0796" w14:textId="156A7DE7" w:rsidR="00BA2D76" w:rsidRPr="00BA2D76" w:rsidRDefault="00BA2D76">
            <w:pPr>
              <w:pStyle w:val="BasicParagraph"/>
              <w:rPr>
                <w:sz w:val="20"/>
                <w:szCs w:val="20"/>
              </w:rPr>
            </w:pPr>
            <w:r w:rsidRPr="00BA2D76">
              <w:rPr>
                <w:sz w:val="20"/>
                <w:szCs w:val="20"/>
              </w:rPr>
              <w:t xml:space="preserve">Severity and extent of damage and disruption to </w:t>
            </w:r>
            <w:proofErr w:type="spellStart"/>
            <w:r w:rsidR="00571869">
              <w:rPr>
                <w:sz w:val="20"/>
                <w:szCs w:val="20"/>
              </w:rPr>
              <w:t>built</w:t>
            </w:r>
            <w:proofErr w:type="spellEnd"/>
            <w:r w:rsidR="00571869">
              <w:rPr>
                <w:sz w:val="20"/>
                <w:szCs w:val="20"/>
              </w:rPr>
              <w:t xml:space="preserve"> and natural environments</w:t>
            </w:r>
            <w:r w:rsidRPr="00BA2D76">
              <w:rPr>
                <w:sz w:val="20"/>
                <w:szCs w:val="20"/>
              </w:rPr>
              <w:t xml:space="preserve">, </w:t>
            </w:r>
            <w:r w:rsidR="00571869">
              <w:rPr>
                <w:sz w:val="20"/>
                <w:szCs w:val="20"/>
              </w:rPr>
              <w:t>people,</w:t>
            </w:r>
            <w:r w:rsidRPr="00BA2D76">
              <w:rPr>
                <w:sz w:val="20"/>
                <w:szCs w:val="20"/>
              </w:rPr>
              <w:t xml:space="preserve"> and the economy</w:t>
            </w:r>
          </w:p>
        </w:tc>
      </w:tr>
      <w:tr w:rsidR="00C6529D" w14:paraId="3ECA079B" w14:textId="77777777" w:rsidTr="7018EF62">
        <w:trPr>
          <w:trHeight w:val="25"/>
        </w:trPr>
        <w:tc>
          <w:tcPr>
            <w:tcW w:w="36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6F6F6F"/>
            <w:tcMar>
              <w:top w:w="80" w:type="dxa"/>
              <w:left w:w="80" w:type="dxa"/>
              <w:bottom w:w="80" w:type="dxa"/>
              <w:right w:w="80" w:type="dxa"/>
            </w:tcMar>
          </w:tcPr>
          <w:p w14:paraId="3ECA0798" w14:textId="77777777" w:rsidR="00C6529D" w:rsidRPr="00BA2D76" w:rsidRDefault="00C6529D" w:rsidP="00C6529D">
            <w:pPr>
              <w:pStyle w:val="BasicParagraph"/>
              <w:rPr>
                <w:sz w:val="20"/>
                <w:szCs w:val="20"/>
              </w:rPr>
            </w:pPr>
            <w:r w:rsidRPr="00BA2D76">
              <w:rPr>
                <w:b/>
                <w:bCs/>
                <w:color w:val="FFFFFF"/>
                <w:sz w:val="20"/>
                <w:szCs w:val="20"/>
              </w:rPr>
              <w:t>1</w:t>
            </w:r>
          </w:p>
        </w:tc>
        <w:tc>
          <w:tcPr>
            <w:tcW w:w="404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DEDE"/>
            <w:tcMar>
              <w:top w:w="80" w:type="dxa"/>
              <w:left w:w="80" w:type="dxa"/>
              <w:bottom w:w="80" w:type="dxa"/>
              <w:right w:w="80" w:type="dxa"/>
            </w:tcMar>
          </w:tcPr>
          <w:p w14:paraId="3ECA0799" w14:textId="77777777" w:rsidR="00C6529D" w:rsidRPr="00BA2D76" w:rsidRDefault="00C6529D" w:rsidP="00C6529D">
            <w:pPr>
              <w:pStyle w:val="BasicParagraph"/>
              <w:rPr>
                <w:sz w:val="20"/>
                <w:szCs w:val="20"/>
              </w:rPr>
            </w:pPr>
            <w:r w:rsidRPr="00BA2D76">
              <w:rPr>
                <w:sz w:val="20"/>
                <w:szCs w:val="20"/>
              </w:rPr>
              <w:t>Unlikely: &lt;1% probability of occurrence per year</w:t>
            </w:r>
          </w:p>
        </w:tc>
        <w:tc>
          <w:tcPr>
            <w:tcW w:w="57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DEDE"/>
            <w:tcMar>
              <w:top w:w="80" w:type="dxa"/>
              <w:left w:w="80" w:type="dxa"/>
              <w:bottom w:w="80" w:type="dxa"/>
              <w:right w:w="80" w:type="dxa"/>
            </w:tcMar>
          </w:tcPr>
          <w:p w14:paraId="3ECA079A" w14:textId="6E28BEF5" w:rsidR="00C6529D" w:rsidRPr="00BA2D76" w:rsidRDefault="00C6529D" w:rsidP="00C6529D">
            <w:pPr>
              <w:pStyle w:val="BasicParagraph"/>
              <w:rPr>
                <w:sz w:val="20"/>
                <w:szCs w:val="20"/>
              </w:rPr>
            </w:pPr>
            <w:r w:rsidRPr="139E3555">
              <w:rPr>
                <w:rFonts w:eastAsia="Calibri"/>
                <w:color w:val="000000" w:themeColor="text1"/>
                <w:sz w:val="20"/>
                <w:szCs w:val="20"/>
              </w:rPr>
              <w:t>Negligible: isolated occurrences of minor built or natural environmental damage, potential for minor injuries, health, or well-being impacts, o</w:t>
            </w:r>
            <w:r>
              <w:rPr>
                <w:rFonts w:eastAsia="Calibri"/>
                <w:color w:val="000000" w:themeColor="text1"/>
                <w:sz w:val="20"/>
                <w:szCs w:val="20"/>
              </w:rPr>
              <w:t>r</w:t>
            </w:r>
            <w:r w:rsidRPr="139E3555">
              <w:rPr>
                <w:rFonts w:eastAsia="Calibri"/>
                <w:color w:val="000000" w:themeColor="text1"/>
                <w:sz w:val="20"/>
                <w:szCs w:val="20"/>
              </w:rPr>
              <w:t xml:space="preserve"> minimal economic disruption</w:t>
            </w:r>
            <w:r w:rsidR="00FD0D6B">
              <w:rPr>
                <w:rFonts w:eastAsia="Calibri"/>
                <w:color w:val="000000" w:themeColor="text1"/>
                <w:sz w:val="20"/>
                <w:szCs w:val="20"/>
              </w:rPr>
              <w:t>.</w:t>
            </w:r>
          </w:p>
        </w:tc>
      </w:tr>
      <w:tr w:rsidR="00C6529D" w14:paraId="3ECA079F" w14:textId="77777777" w:rsidTr="7018EF62">
        <w:trPr>
          <w:trHeight w:val="25"/>
        </w:trPr>
        <w:tc>
          <w:tcPr>
            <w:tcW w:w="36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6F6F6F"/>
            <w:tcMar>
              <w:top w:w="80" w:type="dxa"/>
              <w:left w:w="80" w:type="dxa"/>
              <w:bottom w:w="80" w:type="dxa"/>
              <w:right w:w="80" w:type="dxa"/>
            </w:tcMar>
          </w:tcPr>
          <w:p w14:paraId="3ECA079C" w14:textId="77777777" w:rsidR="00C6529D" w:rsidRPr="00BA2D76" w:rsidRDefault="00C6529D" w:rsidP="00C6529D">
            <w:pPr>
              <w:pStyle w:val="BasicParagraph"/>
              <w:rPr>
                <w:sz w:val="20"/>
                <w:szCs w:val="20"/>
              </w:rPr>
            </w:pPr>
            <w:r w:rsidRPr="00BA2D76">
              <w:rPr>
                <w:b/>
                <w:bCs/>
                <w:color w:val="FFFFFF"/>
                <w:sz w:val="20"/>
                <w:szCs w:val="20"/>
              </w:rPr>
              <w:t>2</w:t>
            </w:r>
          </w:p>
        </w:tc>
        <w:tc>
          <w:tcPr>
            <w:tcW w:w="404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DEDE"/>
            <w:tcMar>
              <w:top w:w="80" w:type="dxa"/>
              <w:left w:w="80" w:type="dxa"/>
              <w:bottom w:w="80" w:type="dxa"/>
              <w:right w:w="80" w:type="dxa"/>
            </w:tcMar>
          </w:tcPr>
          <w:p w14:paraId="3ECA079D" w14:textId="77777777" w:rsidR="00C6529D" w:rsidRPr="00BA2D76" w:rsidRDefault="00C6529D" w:rsidP="00C6529D">
            <w:pPr>
              <w:pStyle w:val="BasicParagraph"/>
              <w:rPr>
                <w:sz w:val="20"/>
                <w:szCs w:val="20"/>
              </w:rPr>
            </w:pPr>
            <w:r w:rsidRPr="00BA2D76">
              <w:rPr>
                <w:sz w:val="20"/>
                <w:szCs w:val="20"/>
              </w:rPr>
              <w:t>Occasionally: 1–10% probability of occurrence per year, or at least one chance in next 100 years</w:t>
            </w:r>
          </w:p>
        </w:tc>
        <w:tc>
          <w:tcPr>
            <w:tcW w:w="57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DEDE"/>
            <w:tcMar>
              <w:top w:w="80" w:type="dxa"/>
              <w:left w:w="80" w:type="dxa"/>
              <w:bottom w:w="80" w:type="dxa"/>
              <w:right w:w="80" w:type="dxa"/>
            </w:tcMar>
          </w:tcPr>
          <w:p w14:paraId="3ECA079E" w14:textId="2C329C9D" w:rsidR="00C6529D" w:rsidRPr="00BA2D76" w:rsidRDefault="00C6529D" w:rsidP="00C6529D">
            <w:pPr>
              <w:pStyle w:val="BasicParagraph"/>
              <w:rPr>
                <w:sz w:val="20"/>
                <w:szCs w:val="20"/>
              </w:rPr>
            </w:pPr>
            <w:r w:rsidRPr="2848DFFC">
              <w:rPr>
                <w:rFonts w:eastAsia="Calibri"/>
                <w:color w:val="000000" w:themeColor="text1"/>
                <w:sz w:val="20"/>
                <w:szCs w:val="20"/>
              </w:rPr>
              <w:t xml:space="preserve">Minor: isolated occurrences of moderate to severe built or natural environmental damage, potential for injuries or health </w:t>
            </w:r>
            <w:r w:rsidRPr="00843171">
              <w:rPr>
                <w:rFonts w:eastAsia="Calibri"/>
                <w:color w:val="000000" w:themeColor="text1"/>
                <w:sz w:val="20"/>
                <w:szCs w:val="20"/>
              </w:rPr>
              <w:t>or</w:t>
            </w:r>
            <w:r w:rsidRPr="2848DFFC">
              <w:rPr>
                <w:rFonts w:eastAsia="Calibri"/>
                <w:color w:val="000000" w:themeColor="text1"/>
                <w:sz w:val="20"/>
                <w:szCs w:val="20"/>
              </w:rPr>
              <w:t xml:space="preserve"> well-being impacts, minor economic disruption</w:t>
            </w:r>
            <w:r w:rsidR="00FD0D6B" w:rsidRPr="00843171">
              <w:rPr>
                <w:rFonts w:eastAsia="Calibri"/>
                <w:color w:val="000000" w:themeColor="text1"/>
                <w:sz w:val="20"/>
                <w:szCs w:val="20"/>
              </w:rPr>
              <w:t>.</w:t>
            </w:r>
          </w:p>
        </w:tc>
      </w:tr>
      <w:tr w:rsidR="00C6529D" w14:paraId="3ECA07A3" w14:textId="77777777" w:rsidTr="7018EF62">
        <w:trPr>
          <w:trHeight w:val="25"/>
        </w:trPr>
        <w:tc>
          <w:tcPr>
            <w:tcW w:w="36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6F6F6F"/>
            <w:tcMar>
              <w:top w:w="80" w:type="dxa"/>
              <w:left w:w="80" w:type="dxa"/>
              <w:bottom w:w="80" w:type="dxa"/>
              <w:right w:w="80" w:type="dxa"/>
            </w:tcMar>
          </w:tcPr>
          <w:p w14:paraId="3ECA07A0" w14:textId="77777777" w:rsidR="00C6529D" w:rsidRPr="00BA2D76" w:rsidRDefault="00C6529D" w:rsidP="00C6529D">
            <w:pPr>
              <w:pStyle w:val="BasicParagraph"/>
              <w:rPr>
                <w:sz w:val="20"/>
                <w:szCs w:val="20"/>
              </w:rPr>
            </w:pPr>
            <w:r w:rsidRPr="00BA2D76">
              <w:rPr>
                <w:b/>
                <w:bCs/>
                <w:color w:val="FFFFFF"/>
                <w:sz w:val="20"/>
                <w:szCs w:val="20"/>
              </w:rPr>
              <w:t>3</w:t>
            </w:r>
          </w:p>
        </w:tc>
        <w:tc>
          <w:tcPr>
            <w:tcW w:w="404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DEDE"/>
            <w:tcMar>
              <w:top w:w="80" w:type="dxa"/>
              <w:left w:w="80" w:type="dxa"/>
              <w:bottom w:w="80" w:type="dxa"/>
              <w:right w:w="80" w:type="dxa"/>
            </w:tcMar>
          </w:tcPr>
          <w:p w14:paraId="3ECA07A1" w14:textId="77777777" w:rsidR="00C6529D" w:rsidRPr="00BA2D76" w:rsidRDefault="00C6529D" w:rsidP="00C6529D">
            <w:pPr>
              <w:pStyle w:val="BasicParagraph"/>
              <w:rPr>
                <w:sz w:val="20"/>
                <w:szCs w:val="20"/>
              </w:rPr>
            </w:pPr>
            <w:r w:rsidRPr="00BA2D76">
              <w:rPr>
                <w:sz w:val="20"/>
                <w:szCs w:val="20"/>
              </w:rPr>
              <w:t>Likely: &gt;10% but &lt;75% probability per year, at least 1 chance in next 10 years</w:t>
            </w:r>
          </w:p>
        </w:tc>
        <w:tc>
          <w:tcPr>
            <w:tcW w:w="57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DEDE"/>
            <w:tcMar>
              <w:top w:w="80" w:type="dxa"/>
              <w:left w:w="80" w:type="dxa"/>
              <w:bottom w:w="80" w:type="dxa"/>
              <w:right w:w="80" w:type="dxa"/>
            </w:tcMar>
          </w:tcPr>
          <w:p w14:paraId="3ECA07A2" w14:textId="2AFF0D6F" w:rsidR="00C6529D" w:rsidRPr="00BA2D76" w:rsidRDefault="00C6529D" w:rsidP="00C6529D">
            <w:pPr>
              <w:pStyle w:val="BasicParagraph"/>
              <w:rPr>
                <w:sz w:val="20"/>
                <w:szCs w:val="20"/>
              </w:rPr>
            </w:pPr>
            <w:r w:rsidRPr="00884ED6">
              <w:rPr>
                <w:rFonts w:eastAsia="Calibri"/>
                <w:sz w:val="20"/>
                <w:szCs w:val="20"/>
              </w:rPr>
              <w:t>Moderate: severe built or natural environmental damage on a community scale, injuries, fatalities</w:t>
            </w:r>
            <w:r w:rsidR="00AC3A13">
              <w:rPr>
                <w:rFonts w:eastAsia="Calibri"/>
                <w:sz w:val="20"/>
                <w:szCs w:val="20"/>
              </w:rPr>
              <w:t xml:space="preserve"> </w:t>
            </w:r>
            <w:r w:rsidR="00AC3A13" w:rsidRPr="00843171">
              <w:rPr>
                <w:rFonts w:eastAsia="Calibri"/>
                <w:sz w:val="20"/>
                <w:szCs w:val="20"/>
              </w:rPr>
              <w:t>or</w:t>
            </w:r>
            <w:r w:rsidRPr="00884ED6">
              <w:rPr>
                <w:rFonts w:eastAsia="Calibri"/>
                <w:sz w:val="20"/>
                <w:szCs w:val="20"/>
              </w:rPr>
              <w:t xml:space="preserve"> impacts to individual and community well-being, short-term</w:t>
            </w:r>
            <w:r>
              <w:rPr>
                <w:rFonts w:eastAsia="Calibri"/>
                <w:sz w:val="20"/>
                <w:szCs w:val="20"/>
              </w:rPr>
              <w:t xml:space="preserve"> </w:t>
            </w:r>
            <w:r w:rsidRPr="00884ED6">
              <w:rPr>
                <w:rFonts w:eastAsia="Calibri"/>
                <w:sz w:val="20"/>
                <w:szCs w:val="20"/>
              </w:rPr>
              <w:t>economic impact</w:t>
            </w:r>
            <w:r w:rsidR="00FD0D6B" w:rsidRPr="00843171">
              <w:rPr>
                <w:rFonts w:eastAsia="Calibri"/>
                <w:sz w:val="20"/>
                <w:szCs w:val="20"/>
              </w:rPr>
              <w:t>.</w:t>
            </w:r>
          </w:p>
        </w:tc>
      </w:tr>
      <w:tr w:rsidR="00C6529D" w14:paraId="3ECA07A7" w14:textId="77777777" w:rsidTr="7018EF62">
        <w:trPr>
          <w:trHeight w:val="25"/>
        </w:trPr>
        <w:tc>
          <w:tcPr>
            <w:tcW w:w="36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6F6F6F"/>
            <w:tcMar>
              <w:top w:w="80" w:type="dxa"/>
              <w:left w:w="80" w:type="dxa"/>
              <w:bottom w:w="80" w:type="dxa"/>
              <w:right w:w="80" w:type="dxa"/>
            </w:tcMar>
          </w:tcPr>
          <w:p w14:paraId="3ECA07A4" w14:textId="77777777" w:rsidR="00C6529D" w:rsidRPr="00BA2D76" w:rsidRDefault="00C6529D" w:rsidP="00C6529D">
            <w:pPr>
              <w:pStyle w:val="BasicParagraph"/>
              <w:rPr>
                <w:sz w:val="20"/>
                <w:szCs w:val="20"/>
              </w:rPr>
            </w:pPr>
            <w:r w:rsidRPr="00BA2D76">
              <w:rPr>
                <w:b/>
                <w:bCs/>
                <w:color w:val="FFFFFF"/>
                <w:sz w:val="20"/>
                <w:szCs w:val="20"/>
              </w:rPr>
              <w:t>4</w:t>
            </w:r>
          </w:p>
        </w:tc>
        <w:tc>
          <w:tcPr>
            <w:tcW w:w="404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DEDE"/>
            <w:tcMar>
              <w:top w:w="80" w:type="dxa"/>
              <w:left w:w="80" w:type="dxa"/>
              <w:bottom w:w="80" w:type="dxa"/>
              <w:right w:w="80" w:type="dxa"/>
            </w:tcMar>
          </w:tcPr>
          <w:p w14:paraId="3ECA07A5" w14:textId="77777777" w:rsidR="00C6529D" w:rsidRPr="00BA2D76" w:rsidRDefault="00C6529D" w:rsidP="00C6529D">
            <w:pPr>
              <w:pStyle w:val="BasicParagraph"/>
              <w:rPr>
                <w:sz w:val="20"/>
                <w:szCs w:val="20"/>
              </w:rPr>
            </w:pPr>
            <w:r w:rsidRPr="00BA2D76">
              <w:rPr>
                <w:sz w:val="20"/>
                <w:szCs w:val="20"/>
              </w:rPr>
              <w:t>Highly Likely: &gt;75% probability in a year</w:t>
            </w:r>
          </w:p>
        </w:tc>
        <w:tc>
          <w:tcPr>
            <w:tcW w:w="57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DEDE"/>
            <w:tcMar>
              <w:top w:w="80" w:type="dxa"/>
              <w:left w:w="80" w:type="dxa"/>
              <w:bottom w:w="80" w:type="dxa"/>
              <w:right w:w="80" w:type="dxa"/>
            </w:tcMar>
          </w:tcPr>
          <w:p w14:paraId="3ECA07A6" w14:textId="148A5AC6" w:rsidR="00C6529D" w:rsidRPr="00BA2D76" w:rsidRDefault="00C6529D" w:rsidP="00C6529D">
            <w:pPr>
              <w:pStyle w:val="BasicParagraph"/>
              <w:rPr>
                <w:sz w:val="20"/>
                <w:szCs w:val="20"/>
              </w:rPr>
            </w:pPr>
            <w:r w:rsidRPr="00884ED6">
              <w:rPr>
                <w:rFonts w:eastAsia="Calibri"/>
                <w:sz w:val="20"/>
                <w:szCs w:val="20"/>
              </w:rPr>
              <w:t>Major: severe built or natural environmental damage on a community or regional scale, multiple injuries or fatalities</w:t>
            </w:r>
            <w:r w:rsidR="00AC3A13">
              <w:rPr>
                <w:rFonts w:eastAsia="Calibri"/>
                <w:sz w:val="20"/>
                <w:szCs w:val="20"/>
              </w:rPr>
              <w:t xml:space="preserve"> </w:t>
            </w:r>
            <w:r w:rsidR="00AC3A13" w:rsidRPr="00843171">
              <w:rPr>
                <w:rFonts w:eastAsia="Calibri"/>
                <w:sz w:val="20"/>
                <w:szCs w:val="20"/>
              </w:rPr>
              <w:t>or</w:t>
            </w:r>
            <w:r w:rsidR="00AC3A13">
              <w:rPr>
                <w:rFonts w:eastAsia="Calibri"/>
                <w:sz w:val="20"/>
                <w:szCs w:val="20"/>
              </w:rPr>
              <w:t xml:space="preserve"> </w:t>
            </w:r>
            <w:r w:rsidRPr="00884ED6">
              <w:rPr>
                <w:rFonts w:eastAsia="Calibri"/>
                <w:sz w:val="20"/>
                <w:szCs w:val="20"/>
              </w:rPr>
              <w:t>severe long-term impacts to individual and community well-being, significant</w:t>
            </w:r>
            <w:r>
              <w:rPr>
                <w:rFonts w:eastAsia="Calibri"/>
                <w:sz w:val="20"/>
                <w:szCs w:val="20"/>
              </w:rPr>
              <w:t xml:space="preserve"> long-term</w:t>
            </w:r>
            <w:r w:rsidRPr="00884ED6">
              <w:rPr>
                <w:rFonts w:eastAsia="Calibri"/>
                <w:sz w:val="20"/>
                <w:szCs w:val="20"/>
              </w:rPr>
              <w:t xml:space="preserve"> economic impact</w:t>
            </w:r>
            <w:r w:rsidR="00FD0D6B" w:rsidRPr="00843171">
              <w:rPr>
                <w:rFonts w:eastAsia="Calibri"/>
                <w:sz w:val="20"/>
                <w:szCs w:val="20"/>
              </w:rPr>
              <w:t>.</w:t>
            </w:r>
          </w:p>
        </w:tc>
      </w:tr>
    </w:tbl>
    <w:p w14:paraId="3ECA07A8" w14:textId="77777777" w:rsidR="00BA2D76" w:rsidRDefault="00BA2D76" w:rsidP="00BA2D76">
      <w:pPr>
        <w:pStyle w:val="BasicParagraph"/>
        <w:rPr>
          <w:sz w:val="22"/>
        </w:rPr>
      </w:pPr>
    </w:p>
    <w:p w14:paraId="3ECA07A9" w14:textId="77777777" w:rsidR="00BA2D76" w:rsidRDefault="00BA2D76" w:rsidP="00BA2D76">
      <w:pPr>
        <w:pStyle w:val="BasicParagraph"/>
        <w:rPr>
          <w:sz w:val="22"/>
        </w:rPr>
      </w:pPr>
    </w:p>
    <w:p w14:paraId="3ECA07AA" w14:textId="1187723A" w:rsidR="00983ECD" w:rsidRPr="00BA2D76" w:rsidRDefault="00BA2D76" w:rsidP="00BA2D76">
      <w:pPr>
        <w:pStyle w:val="BasicParagraph"/>
        <w:rPr>
          <w:sz w:val="22"/>
        </w:rPr>
      </w:pPr>
      <w:r w:rsidRPr="00BA2D76">
        <w:rPr>
          <w:sz w:val="22"/>
        </w:rPr>
        <w:t>The hazards and explanations of their relative probability and impact scores are detailed in the individual hazards assessment sections below. While these hazards are profiled individually, this Plan and the hazard assessment sections recognize that hazards</w:t>
      </w:r>
      <w:r w:rsidR="00B455CC">
        <w:rPr>
          <w:sz w:val="22"/>
        </w:rPr>
        <w:t>, like their impacts,</w:t>
      </w:r>
      <w:r w:rsidRPr="00BA2D76">
        <w:rPr>
          <w:sz w:val="22"/>
        </w:rPr>
        <w:t xml:space="preserve"> do not occur in silos; many of the hazards are inter-related and often occur in tandem. To highlight the most significant relationships, the fluvial erosion and inundation flooding assessments were combined. Each individual hazard assessment section also references the other pertinent hazards and their content, when applicable. </w:t>
      </w:r>
    </w:p>
    <w:p w14:paraId="3ECA08F8" w14:textId="77777777" w:rsidR="00BA2D76" w:rsidRPr="00BA2D76" w:rsidRDefault="00BA2D76" w:rsidP="00BA2D76">
      <w:pPr>
        <w:pStyle w:val="BasicParagraph"/>
        <w:rPr>
          <w:sz w:val="22"/>
          <w:szCs w:val="22"/>
        </w:rPr>
      </w:pPr>
    </w:p>
    <w:p w14:paraId="3ECA08F9" w14:textId="77777777" w:rsidR="00BA2D76" w:rsidRPr="00BA2D76" w:rsidRDefault="00BA2D76" w:rsidP="00BA2D76">
      <w:pPr>
        <w:pStyle w:val="BasicParagraph"/>
        <w:rPr>
          <w:sz w:val="22"/>
          <w:szCs w:val="22"/>
        </w:rPr>
      </w:pPr>
      <w:r w:rsidRPr="00BA2D76">
        <w:rPr>
          <w:rStyle w:val="Heading31"/>
          <w:sz w:val="22"/>
          <w:szCs w:val="22"/>
        </w:rPr>
        <w:t xml:space="preserve">Jurisdictional Risk Assessments: </w:t>
      </w:r>
    </w:p>
    <w:p w14:paraId="3ECA08FA" w14:textId="77777777" w:rsidR="00BA2D76" w:rsidRPr="00BA2D76" w:rsidRDefault="00BA2D76" w:rsidP="00BA2D76">
      <w:pPr>
        <w:pStyle w:val="BasicParagraph"/>
        <w:rPr>
          <w:sz w:val="22"/>
          <w:szCs w:val="22"/>
        </w:rPr>
      </w:pPr>
    </w:p>
    <w:p w14:paraId="3ECA08FB" w14:textId="77777777" w:rsidR="00BA2D76" w:rsidRDefault="3794425F" w:rsidP="00BA2D76">
      <w:pPr>
        <w:pStyle w:val="BasicParagraph"/>
        <w:rPr>
          <w:sz w:val="22"/>
          <w:szCs w:val="22"/>
        </w:rPr>
      </w:pPr>
      <w:proofErr w:type="gramStart"/>
      <w:r w:rsidRPr="3794425F">
        <w:rPr>
          <w:sz w:val="22"/>
          <w:szCs w:val="22"/>
        </w:rPr>
        <w:t>In an effort to</w:t>
      </w:r>
      <w:proofErr w:type="gramEnd"/>
      <w:r w:rsidRPr="3794425F">
        <w:rPr>
          <w:sz w:val="22"/>
          <w:szCs w:val="22"/>
        </w:rPr>
        <w:t xml:space="preserve"> validate the risk assessment completed by the Steering Committee, and as one of the metrics used to assess local vulnerability, VEM staff asked RPCs to rank the same list of hazards based on the perceived vulnerability in their respective regions. RPCs ranked vulnerability on a scale from 1-14, with 1 being the most significant and 14 being the least significant. Table </w:t>
      </w:r>
      <w:r w:rsidRPr="00D050B9">
        <w:rPr>
          <w:sz w:val="22"/>
          <w:szCs w:val="22"/>
          <w:highlight w:val="yellow"/>
        </w:rPr>
        <w:t>20</w:t>
      </w:r>
      <w:r w:rsidRPr="3794425F">
        <w:rPr>
          <w:sz w:val="22"/>
          <w:szCs w:val="22"/>
        </w:rPr>
        <w:t xml:space="preserve"> represents the responses from each RPC, with an average score based on all responses, ordered from most to least significant. The results of this analysis closely matched the hazard ranking completed by the Steering Committee, further confirming Vermont’s most significant hazards (</w:t>
      </w:r>
      <w:proofErr w:type="gramStart"/>
      <w:r w:rsidRPr="3794425F">
        <w:rPr>
          <w:sz w:val="22"/>
          <w:szCs w:val="22"/>
        </w:rPr>
        <w:t>i.e.</w:t>
      </w:r>
      <w:proofErr w:type="gramEnd"/>
      <w:r w:rsidRPr="3794425F">
        <w:rPr>
          <w:sz w:val="22"/>
          <w:szCs w:val="22"/>
        </w:rPr>
        <w:t xml:space="preserve"> Fluvial Erosion, Inundation Flooding, Ice and Snow). </w:t>
      </w:r>
    </w:p>
    <w:p w14:paraId="5382F65F" w14:textId="77777777" w:rsidR="008D1F8F" w:rsidRDefault="008D1F8F" w:rsidP="00BA2D76">
      <w:pPr>
        <w:pStyle w:val="BasicParagraph"/>
        <w:rPr>
          <w:sz w:val="22"/>
          <w:szCs w:val="22"/>
        </w:rPr>
      </w:pPr>
    </w:p>
    <w:p w14:paraId="484408B9" w14:textId="77777777" w:rsidR="008D1F8F" w:rsidRDefault="008D1F8F" w:rsidP="00BA2D76">
      <w:pPr>
        <w:pStyle w:val="BasicParagraph"/>
        <w:rPr>
          <w:sz w:val="22"/>
          <w:szCs w:val="22"/>
        </w:rPr>
      </w:pPr>
    </w:p>
    <w:p w14:paraId="18B4EA6D" w14:textId="24216064" w:rsidR="008D1F8F" w:rsidRPr="00BA2D76" w:rsidRDefault="008D1F8F" w:rsidP="00BA2D76">
      <w:pPr>
        <w:pStyle w:val="BasicParagraph"/>
        <w:rPr>
          <w:sz w:val="22"/>
          <w:szCs w:val="22"/>
        </w:rPr>
      </w:pPr>
      <w:r w:rsidRPr="008D1F8F">
        <w:rPr>
          <w:b/>
          <w:bCs/>
          <w:sz w:val="22"/>
          <w:szCs w:val="22"/>
        </w:rPr>
        <w:t xml:space="preserve">Table </w:t>
      </w:r>
      <w:r w:rsidRPr="00D050B9">
        <w:rPr>
          <w:b/>
          <w:bCs/>
          <w:sz w:val="22"/>
          <w:szCs w:val="22"/>
          <w:highlight w:val="yellow"/>
        </w:rPr>
        <w:t>20</w:t>
      </w:r>
      <w:r w:rsidRPr="008D1F8F">
        <w:rPr>
          <w:b/>
          <w:bCs/>
          <w:sz w:val="22"/>
          <w:szCs w:val="22"/>
        </w:rPr>
        <w:t>: Hazard Assessment Ranking by Regional Planning Commission</w:t>
      </w:r>
    </w:p>
    <w:tbl>
      <w:tblPr>
        <w:tblW w:w="11431" w:type="dxa"/>
        <w:tblInd w:w="-1091" w:type="dxa"/>
        <w:tblLayout w:type="fixed"/>
        <w:tblLook w:val="04A0" w:firstRow="1" w:lastRow="0" w:firstColumn="1" w:lastColumn="0" w:noHBand="0" w:noVBand="1"/>
      </w:tblPr>
      <w:tblGrid>
        <w:gridCol w:w="1171"/>
        <w:gridCol w:w="900"/>
        <w:gridCol w:w="900"/>
        <w:gridCol w:w="810"/>
        <w:gridCol w:w="720"/>
        <w:gridCol w:w="810"/>
        <w:gridCol w:w="810"/>
        <w:gridCol w:w="630"/>
        <w:gridCol w:w="720"/>
        <w:gridCol w:w="720"/>
        <w:gridCol w:w="720"/>
        <w:gridCol w:w="810"/>
        <w:gridCol w:w="900"/>
        <w:gridCol w:w="810"/>
      </w:tblGrid>
      <w:tr w:rsidR="00333EBD" w:rsidRPr="00AD686A" w14:paraId="54A31DE8" w14:textId="77777777" w:rsidTr="009554AE">
        <w:trPr>
          <w:trHeight w:val="675"/>
        </w:trPr>
        <w:tc>
          <w:tcPr>
            <w:tcW w:w="1171" w:type="dxa"/>
            <w:tcBorders>
              <w:top w:val="nil"/>
              <w:left w:val="single" w:sz="8" w:space="0" w:color="FFFFFF"/>
              <w:bottom w:val="single" w:sz="4" w:space="0" w:color="auto"/>
              <w:right w:val="single" w:sz="8" w:space="0" w:color="FFFFFF"/>
            </w:tcBorders>
            <w:shd w:val="clear" w:color="000000" w:fill="DEDEDE"/>
            <w:vAlign w:val="center"/>
            <w:hideMark/>
          </w:tcPr>
          <w:p w14:paraId="69C17CCB" w14:textId="77777777" w:rsidR="008D1F8F" w:rsidRPr="00AD686A" w:rsidRDefault="008D1F8F" w:rsidP="00AD686A">
            <w:pPr>
              <w:spacing w:after="0" w:line="240" w:lineRule="auto"/>
              <w:rPr>
                <w:rFonts w:ascii="Calibri" w:eastAsia="Times New Roman" w:hAnsi="Calibri" w:cs="Calibri"/>
                <w:b/>
                <w:bCs/>
                <w:color w:val="000000"/>
                <w:sz w:val="20"/>
                <w:szCs w:val="20"/>
              </w:rPr>
            </w:pPr>
            <w:r w:rsidRPr="00AD686A">
              <w:rPr>
                <w:rFonts w:ascii="Calibri" w:eastAsia="Times New Roman" w:hAnsi="Calibri" w:cs="Calibri"/>
                <w:b/>
                <w:bCs/>
                <w:color w:val="000000"/>
                <w:sz w:val="20"/>
                <w:szCs w:val="20"/>
              </w:rPr>
              <w:t>Hazard Impact</w:t>
            </w:r>
          </w:p>
        </w:tc>
        <w:tc>
          <w:tcPr>
            <w:tcW w:w="900" w:type="dxa"/>
            <w:tcBorders>
              <w:top w:val="nil"/>
              <w:left w:val="nil"/>
              <w:bottom w:val="single" w:sz="4" w:space="0" w:color="auto"/>
              <w:right w:val="single" w:sz="8" w:space="0" w:color="FFFFFF"/>
            </w:tcBorders>
            <w:shd w:val="clear" w:color="000000" w:fill="DEDEDE"/>
            <w:vAlign w:val="center"/>
          </w:tcPr>
          <w:p w14:paraId="6E0C5D18" w14:textId="4ADD00EE" w:rsidR="008D1F8F" w:rsidRPr="00AD686A" w:rsidRDefault="008D1F8F" w:rsidP="00AD686A">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2023 Average</w:t>
            </w:r>
          </w:p>
        </w:tc>
        <w:tc>
          <w:tcPr>
            <w:tcW w:w="900" w:type="dxa"/>
            <w:tcBorders>
              <w:top w:val="nil"/>
              <w:left w:val="nil"/>
              <w:bottom w:val="single" w:sz="4" w:space="0" w:color="auto"/>
              <w:right w:val="single" w:sz="8" w:space="0" w:color="FFFFFF"/>
            </w:tcBorders>
            <w:shd w:val="clear" w:color="000000" w:fill="DEDEDE"/>
            <w:vAlign w:val="center"/>
          </w:tcPr>
          <w:p w14:paraId="04CF2D61" w14:textId="12158656" w:rsidR="008D1F8F" w:rsidRPr="00AD686A" w:rsidRDefault="008D1F8F" w:rsidP="008D1F8F">
            <w:pPr>
              <w:spacing w:after="0" w:line="240" w:lineRule="auto"/>
              <w:jc w:val="center"/>
              <w:rPr>
                <w:rFonts w:ascii="Calibri" w:eastAsia="Times New Roman" w:hAnsi="Calibri" w:cs="Calibri"/>
                <w:b/>
                <w:bCs/>
                <w:color w:val="000000"/>
                <w:sz w:val="20"/>
                <w:szCs w:val="20"/>
              </w:rPr>
            </w:pPr>
            <w:r w:rsidRPr="00AD686A">
              <w:rPr>
                <w:rFonts w:ascii="Calibri" w:eastAsia="Times New Roman" w:hAnsi="Calibri" w:cs="Calibri"/>
                <w:b/>
                <w:bCs/>
                <w:color w:val="000000"/>
                <w:sz w:val="20"/>
                <w:szCs w:val="20"/>
              </w:rPr>
              <w:t>Change</w:t>
            </w:r>
            <w:r>
              <w:rPr>
                <w:rFonts w:ascii="Calibri" w:eastAsia="Times New Roman" w:hAnsi="Calibri" w:cs="Calibri"/>
                <w:b/>
                <w:bCs/>
                <w:color w:val="000000"/>
                <w:sz w:val="20"/>
                <w:szCs w:val="20"/>
              </w:rPr>
              <w:t xml:space="preserve"> from 2018</w:t>
            </w:r>
          </w:p>
        </w:tc>
        <w:tc>
          <w:tcPr>
            <w:tcW w:w="810" w:type="dxa"/>
            <w:tcBorders>
              <w:top w:val="nil"/>
              <w:left w:val="nil"/>
              <w:bottom w:val="single" w:sz="4" w:space="0" w:color="auto"/>
              <w:right w:val="single" w:sz="8" w:space="0" w:color="FFFFFF"/>
            </w:tcBorders>
            <w:shd w:val="clear" w:color="000000" w:fill="DEDEDE"/>
            <w:vAlign w:val="center"/>
            <w:hideMark/>
          </w:tcPr>
          <w:p w14:paraId="1B0C908C" w14:textId="77777777" w:rsidR="008D1F8F" w:rsidRPr="00AD686A" w:rsidRDefault="008D1F8F" w:rsidP="00AD686A">
            <w:pPr>
              <w:spacing w:after="0" w:line="240" w:lineRule="auto"/>
              <w:rPr>
                <w:rFonts w:ascii="Calibri" w:eastAsia="Times New Roman" w:hAnsi="Calibri" w:cs="Calibri"/>
                <w:b/>
                <w:bCs/>
                <w:color w:val="000000"/>
                <w:sz w:val="20"/>
                <w:szCs w:val="20"/>
              </w:rPr>
            </w:pPr>
            <w:r w:rsidRPr="00AD686A">
              <w:rPr>
                <w:rFonts w:ascii="Calibri" w:eastAsia="Times New Roman" w:hAnsi="Calibri" w:cs="Calibri"/>
                <w:b/>
                <w:bCs/>
                <w:color w:val="000000"/>
                <w:sz w:val="20"/>
                <w:szCs w:val="20"/>
              </w:rPr>
              <w:t>ACRPC</w:t>
            </w:r>
          </w:p>
        </w:tc>
        <w:tc>
          <w:tcPr>
            <w:tcW w:w="720" w:type="dxa"/>
            <w:tcBorders>
              <w:top w:val="nil"/>
              <w:left w:val="nil"/>
              <w:bottom w:val="single" w:sz="4" w:space="0" w:color="auto"/>
              <w:right w:val="single" w:sz="8" w:space="0" w:color="FFFFFF"/>
            </w:tcBorders>
            <w:shd w:val="clear" w:color="000000" w:fill="DEDEDE"/>
            <w:vAlign w:val="center"/>
            <w:hideMark/>
          </w:tcPr>
          <w:p w14:paraId="4C120813" w14:textId="77777777" w:rsidR="008D1F8F" w:rsidRPr="00AD686A" w:rsidRDefault="008D1F8F" w:rsidP="00AD686A">
            <w:pPr>
              <w:spacing w:after="0" w:line="240" w:lineRule="auto"/>
              <w:rPr>
                <w:rFonts w:ascii="Calibri" w:eastAsia="Times New Roman" w:hAnsi="Calibri" w:cs="Calibri"/>
                <w:b/>
                <w:bCs/>
                <w:color w:val="000000"/>
                <w:sz w:val="20"/>
                <w:szCs w:val="20"/>
              </w:rPr>
            </w:pPr>
            <w:r w:rsidRPr="00AD686A">
              <w:rPr>
                <w:rFonts w:ascii="Calibri" w:eastAsia="Times New Roman" w:hAnsi="Calibri" w:cs="Calibri"/>
                <w:b/>
                <w:bCs/>
                <w:color w:val="000000"/>
                <w:sz w:val="20"/>
                <w:szCs w:val="20"/>
              </w:rPr>
              <w:t>BCRC</w:t>
            </w:r>
          </w:p>
        </w:tc>
        <w:tc>
          <w:tcPr>
            <w:tcW w:w="810" w:type="dxa"/>
            <w:tcBorders>
              <w:top w:val="nil"/>
              <w:left w:val="nil"/>
              <w:bottom w:val="single" w:sz="4" w:space="0" w:color="auto"/>
              <w:right w:val="single" w:sz="8" w:space="0" w:color="FFFFFF"/>
            </w:tcBorders>
            <w:shd w:val="clear" w:color="000000" w:fill="DEDEDE"/>
            <w:vAlign w:val="center"/>
            <w:hideMark/>
          </w:tcPr>
          <w:p w14:paraId="6ACCAA19" w14:textId="77777777" w:rsidR="008D1F8F" w:rsidRPr="00AD686A" w:rsidRDefault="008D1F8F" w:rsidP="00AD686A">
            <w:pPr>
              <w:spacing w:after="0" w:line="240" w:lineRule="auto"/>
              <w:rPr>
                <w:rFonts w:ascii="Calibri" w:eastAsia="Times New Roman" w:hAnsi="Calibri" w:cs="Calibri"/>
                <w:b/>
                <w:bCs/>
                <w:color w:val="000000"/>
                <w:sz w:val="20"/>
                <w:szCs w:val="20"/>
              </w:rPr>
            </w:pPr>
            <w:r w:rsidRPr="00AD686A">
              <w:rPr>
                <w:rFonts w:ascii="Calibri" w:eastAsia="Times New Roman" w:hAnsi="Calibri" w:cs="Calibri"/>
                <w:b/>
                <w:bCs/>
                <w:color w:val="000000"/>
                <w:sz w:val="20"/>
                <w:szCs w:val="20"/>
              </w:rPr>
              <w:t>CCRPC</w:t>
            </w:r>
          </w:p>
        </w:tc>
        <w:tc>
          <w:tcPr>
            <w:tcW w:w="810" w:type="dxa"/>
            <w:tcBorders>
              <w:top w:val="nil"/>
              <w:left w:val="nil"/>
              <w:bottom w:val="single" w:sz="4" w:space="0" w:color="auto"/>
              <w:right w:val="single" w:sz="8" w:space="0" w:color="FFFFFF"/>
            </w:tcBorders>
            <w:shd w:val="clear" w:color="000000" w:fill="DEDEDE"/>
            <w:vAlign w:val="center"/>
            <w:hideMark/>
          </w:tcPr>
          <w:p w14:paraId="48A6822F" w14:textId="77777777" w:rsidR="008D1F8F" w:rsidRPr="00AD686A" w:rsidRDefault="008D1F8F" w:rsidP="00AD686A">
            <w:pPr>
              <w:spacing w:after="0" w:line="240" w:lineRule="auto"/>
              <w:rPr>
                <w:rFonts w:ascii="Calibri" w:eastAsia="Times New Roman" w:hAnsi="Calibri" w:cs="Calibri"/>
                <w:b/>
                <w:bCs/>
                <w:color w:val="000000"/>
                <w:sz w:val="20"/>
                <w:szCs w:val="20"/>
              </w:rPr>
            </w:pPr>
            <w:r w:rsidRPr="00AD686A">
              <w:rPr>
                <w:rFonts w:ascii="Calibri" w:eastAsia="Times New Roman" w:hAnsi="Calibri" w:cs="Calibri"/>
                <w:b/>
                <w:bCs/>
                <w:color w:val="000000"/>
                <w:sz w:val="20"/>
                <w:szCs w:val="20"/>
              </w:rPr>
              <w:t>CVRPC</w:t>
            </w:r>
          </w:p>
        </w:tc>
        <w:tc>
          <w:tcPr>
            <w:tcW w:w="630" w:type="dxa"/>
            <w:tcBorders>
              <w:top w:val="nil"/>
              <w:left w:val="nil"/>
              <w:bottom w:val="single" w:sz="4" w:space="0" w:color="auto"/>
              <w:right w:val="single" w:sz="8" w:space="0" w:color="FFFFFF"/>
            </w:tcBorders>
            <w:shd w:val="clear" w:color="000000" w:fill="DEDEDE"/>
            <w:vAlign w:val="center"/>
            <w:hideMark/>
          </w:tcPr>
          <w:p w14:paraId="36DD1DB7" w14:textId="77777777" w:rsidR="008D1F8F" w:rsidRPr="00AD686A" w:rsidRDefault="008D1F8F" w:rsidP="00AD686A">
            <w:pPr>
              <w:spacing w:after="0" w:line="240" w:lineRule="auto"/>
              <w:rPr>
                <w:rFonts w:ascii="Calibri" w:eastAsia="Times New Roman" w:hAnsi="Calibri" w:cs="Calibri"/>
                <w:b/>
                <w:bCs/>
                <w:color w:val="000000"/>
                <w:sz w:val="20"/>
                <w:szCs w:val="20"/>
              </w:rPr>
            </w:pPr>
            <w:r w:rsidRPr="00AD686A">
              <w:rPr>
                <w:rFonts w:ascii="Calibri" w:eastAsia="Times New Roman" w:hAnsi="Calibri" w:cs="Calibri"/>
                <w:b/>
                <w:bCs/>
                <w:color w:val="000000"/>
                <w:sz w:val="20"/>
                <w:szCs w:val="20"/>
              </w:rPr>
              <w:t>LCPC</w:t>
            </w:r>
          </w:p>
        </w:tc>
        <w:tc>
          <w:tcPr>
            <w:tcW w:w="720" w:type="dxa"/>
            <w:tcBorders>
              <w:top w:val="nil"/>
              <w:left w:val="nil"/>
              <w:bottom w:val="single" w:sz="4" w:space="0" w:color="auto"/>
              <w:right w:val="single" w:sz="8" w:space="0" w:color="FFFFFF"/>
            </w:tcBorders>
            <w:shd w:val="clear" w:color="000000" w:fill="DEDEDE"/>
            <w:vAlign w:val="center"/>
            <w:hideMark/>
          </w:tcPr>
          <w:p w14:paraId="5BC9CABF" w14:textId="77777777" w:rsidR="008D1F8F" w:rsidRPr="00AD686A" w:rsidRDefault="008D1F8F" w:rsidP="00AD686A">
            <w:pPr>
              <w:spacing w:after="0" w:line="240" w:lineRule="auto"/>
              <w:rPr>
                <w:rFonts w:ascii="Calibri" w:eastAsia="Times New Roman" w:hAnsi="Calibri" w:cs="Calibri"/>
                <w:b/>
                <w:bCs/>
                <w:color w:val="000000"/>
                <w:sz w:val="20"/>
                <w:szCs w:val="20"/>
              </w:rPr>
            </w:pPr>
            <w:r w:rsidRPr="00AD686A">
              <w:rPr>
                <w:rFonts w:ascii="Calibri" w:eastAsia="Times New Roman" w:hAnsi="Calibri" w:cs="Calibri"/>
                <w:b/>
                <w:bCs/>
                <w:color w:val="000000"/>
                <w:sz w:val="20"/>
                <w:szCs w:val="20"/>
              </w:rPr>
              <w:t>NRPC</w:t>
            </w:r>
          </w:p>
        </w:tc>
        <w:tc>
          <w:tcPr>
            <w:tcW w:w="720" w:type="dxa"/>
            <w:tcBorders>
              <w:top w:val="nil"/>
              <w:left w:val="nil"/>
              <w:bottom w:val="single" w:sz="4" w:space="0" w:color="auto"/>
              <w:right w:val="single" w:sz="8" w:space="0" w:color="FFFFFF"/>
            </w:tcBorders>
            <w:shd w:val="clear" w:color="000000" w:fill="DEDEDE"/>
            <w:vAlign w:val="center"/>
            <w:hideMark/>
          </w:tcPr>
          <w:p w14:paraId="6773F659" w14:textId="77777777" w:rsidR="008D1F8F" w:rsidRPr="00AD686A" w:rsidRDefault="008D1F8F" w:rsidP="00AD686A">
            <w:pPr>
              <w:spacing w:after="0" w:line="240" w:lineRule="auto"/>
              <w:rPr>
                <w:rFonts w:ascii="Calibri" w:eastAsia="Times New Roman" w:hAnsi="Calibri" w:cs="Calibri"/>
                <w:b/>
                <w:bCs/>
                <w:color w:val="000000"/>
                <w:sz w:val="20"/>
                <w:szCs w:val="20"/>
              </w:rPr>
            </w:pPr>
            <w:r w:rsidRPr="00AD686A">
              <w:rPr>
                <w:rFonts w:ascii="Calibri" w:eastAsia="Times New Roman" w:hAnsi="Calibri" w:cs="Calibri"/>
                <w:b/>
                <w:bCs/>
                <w:color w:val="000000"/>
                <w:sz w:val="20"/>
                <w:szCs w:val="20"/>
              </w:rPr>
              <w:t>NVDA</w:t>
            </w:r>
          </w:p>
        </w:tc>
        <w:tc>
          <w:tcPr>
            <w:tcW w:w="720" w:type="dxa"/>
            <w:tcBorders>
              <w:top w:val="nil"/>
              <w:left w:val="nil"/>
              <w:bottom w:val="single" w:sz="4" w:space="0" w:color="auto"/>
              <w:right w:val="single" w:sz="8" w:space="0" w:color="FFFFFF"/>
            </w:tcBorders>
            <w:shd w:val="clear" w:color="000000" w:fill="DEDEDE"/>
            <w:vAlign w:val="center"/>
            <w:hideMark/>
          </w:tcPr>
          <w:p w14:paraId="66BEA2ED" w14:textId="77777777" w:rsidR="008D1F8F" w:rsidRPr="00AD686A" w:rsidRDefault="008D1F8F" w:rsidP="00AD686A">
            <w:pPr>
              <w:spacing w:after="0" w:line="240" w:lineRule="auto"/>
              <w:rPr>
                <w:rFonts w:ascii="Calibri" w:eastAsia="Times New Roman" w:hAnsi="Calibri" w:cs="Calibri"/>
                <w:b/>
                <w:bCs/>
                <w:color w:val="000000"/>
                <w:sz w:val="20"/>
                <w:szCs w:val="20"/>
              </w:rPr>
            </w:pPr>
            <w:r w:rsidRPr="00AD686A">
              <w:rPr>
                <w:rFonts w:ascii="Calibri" w:eastAsia="Times New Roman" w:hAnsi="Calibri" w:cs="Calibri"/>
                <w:b/>
                <w:bCs/>
                <w:color w:val="000000"/>
                <w:sz w:val="20"/>
                <w:szCs w:val="20"/>
              </w:rPr>
              <w:t>RRPC</w:t>
            </w:r>
          </w:p>
        </w:tc>
        <w:tc>
          <w:tcPr>
            <w:tcW w:w="810" w:type="dxa"/>
            <w:tcBorders>
              <w:top w:val="nil"/>
              <w:left w:val="nil"/>
              <w:bottom w:val="single" w:sz="4" w:space="0" w:color="auto"/>
              <w:right w:val="single" w:sz="8" w:space="0" w:color="FFFFFF"/>
            </w:tcBorders>
            <w:shd w:val="clear" w:color="000000" w:fill="DEDEDE"/>
            <w:vAlign w:val="center"/>
            <w:hideMark/>
          </w:tcPr>
          <w:p w14:paraId="3A7D3BD5" w14:textId="42707686" w:rsidR="008D1F8F" w:rsidRPr="00AD686A" w:rsidRDefault="008D1F8F" w:rsidP="00AD686A">
            <w:pPr>
              <w:spacing w:after="0" w:line="240" w:lineRule="auto"/>
              <w:rPr>
                <w:rFonts w:ascii="Calibri" w:eastAsia="Times New Roman" w:hAnsi="Calibri" w:cs="Calibri"/>
                <w:b/>
                <w:bCs/>
                <w:color w:val="000000"/>
                <w:sz w:val="20"/>
                <w:szCs w:val="20"/>
              </w:rPr>
            </w:pPr>
            <w:r w:rsidRPr="00AD686A">
              <w:rPr>
                <w:rFonts w:ascii="Calibri" w:eastAsia="Times New Roman" w:hAnsi="Calibri" w:cs="Calibri"/>
                <w:b/>
                <w:bCs/>
                <w:color w:val="000000"/>
                <w:sz w:val="20"/>
                <w:szCs w:val="20"/>
              </w:rPr>
              <w:t>MARC</w:t>
            </w:r>
          </w:p>
        </w:tc>
        <w:tc>
          <w:tcPr>
            <w:tcW w:w="900" w:type="dxa"/>
            <w:tcBorders>
              <w:top w:val="nil"/>
              <w:left w:val="nil"/>
              <w:bottom w:val="single" w:sz="4" w:space="0" w:color="auto"/>
              <w:right w:val="single" w:sz="8" w:space="0" w:color="FFFFFF"/>
            </w:tcBorders>
            <w:shd w:val="clear" w:color="000000" w:fill="DEDEDE"/>
            <w:vAlign w:val="center"/>
            <w:hideMark/>
          </w:tcPr>
          <w:p w14:paraId="716D3D22" w14:textId="77777777" w:rsidR="008D1F8F" w:rsidRPr="00AD686A" w:rsidRDefault="008D1F8F" w:rsidP="00AD686A">
            <w:pPr>
              <w:spacing w:after="0" w:line="240" w:lineRule="auto"/>
              <w:rPr>
                <w:rFonts w:ascii="Calibri" w:eastAsia="Times New Roman" w:hAnsi="Calibri" w:cs="Calibri"/>
                <w:b/>
                <w:bCs/>
                <w:color w:val="000000"/>
                <w:sz w:val="20"/>
                <w:szCs w:val="20"/>
              </w:rPr>
            </w:pPr>
            <w:r w:rsidRPr="00AD686A">
              <w:rPr>
                <w:rFonts w:ascii="Calibri" w:eastAsia="Times New Roman" w:hAnsi="Calibri" w:cs="Calibri"/>
                <w:b/>
                <w:bCs/>
                <w:color w:val="000000"/>
                <w:sz w:val="20"/>
                <w:szCs w:val="20"/>
              </w:rPr>
              <w:t>TRORC</w:t>
            </w:r>
          </w:p>
        </w:tc>
        <w:tc>
          <w:tcPr>
            <w:tcW w:w="810" w:type="dxa"/>
            <w:tcBorders>
              <w:top w:val="nil"/>
              <w:left w:val="nil"/>
              <w:bottom w:val="single" w:sz="4" w:space="0" w:color="auto"/>
              <w:right w:val="single" w:sz="8" w:space="0" w:color="FFFFFF"/>
            </w:tcBorders>
            <w:shd w:val="clear" w:color="000000" w:fill="DEDEDE"/>
            <w:vAlign w:val="center"/>
            <w:hideMark/>
          </w:tcPr>
          <w:p w14:paraId="06CF2AA1" w14:textId="77777777" w:rsidR="008D1F8F" w:rsidRPr="00AD686A" w:rsidRDefault="008D1F8F" w:rsidP="00AD686A">
            <w:pPr>
              <w:spacing w:after="0" w:line="240" w:lineRule="auto"/>
              <w:rPr>
                <w:rFonts w:ascii="Calibri" w:eastAsia="Times New Roman" w:hAnsi="Calibri" w:cs="Calibri"/>
                <w:b/>
                <w:bCs/>
                <w:color w:val="000000"/>
                <w:sz w:val="20"/>
                <w:szCs w:val="20"/>
              </w:rPr>
            </w:pPr>
            <w:r w:rsidRPr="00AD686A">
              <w:rPr>
                <w:rFonts w:ascii="Calibri" w:eastAsia="Times New Roman" w:hAnsi="Calibri" w:cs="Calibri"/>
                <w:b/>
                <w:bCs/>
                <w:color w:val="000000"/>
                <w:sz w:val="20"/>
                <w:szCs w:val="20"/>
              </w:rPr>
              <w:t>WRC</w:t>
            </w:r>
          </w:p>
        </w:tc>
      </w:tr>
      <w:tr w:rsidR="009554AE" w:rsidRPr="00AD686A" w14:paraId="0973255F" w14:textId="77777777" w:rsidTr="009554AE">
        <w:trPr>
          <w:trHeight w:val="564"/>
        </w:trPr>
        <w:tc>
          <w:tcPr>
            <w:tcW w:w="11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BF28B2" w14:textId="77777777" w:rsidR="00E1024C" w:rsidRPr="00AD686A" w:rsidRDefault="00E1024C" w:rsidP="00AD686A">
            <w:pPr>
              <w:spacing w:after="0" w:line="240" w:lineRule="auto"/>
              <w:rPr>
                <w:rFonts w:ascii="Calibri" w:eastAsia="Times New Roman" w:hAnsi="Calibri" w:cs="Calibri"/>
                <w:b/>
                <w:bCs/>
                <w:color w:val="000000"/>
                <w:sz w:val="20"/>
                <w:szCs w:val="20"/>
              </w:rPr>
            </w:pPr>
            <w:r w:rsidRPr="00AD686A">
              <w:rPr>
                <w:rFonts w:ascii="Calibri" w:eastAsia="Times New Roman" w:hAnsi="Calibri" w:cs="Calibri"/>
                <w:b/>
                <w:bCs/>
                <w:color w:val="000000"/>
                <w:sz w:val="20"/>
                <w:szCs w:val="20"/>
              </w:rPr>
              <w:t>Inundation Flooding</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B3D6EA" w14:textId="77777777" w:rsidR="00E1024C" w:rsidRPr="00AD686A" w:rsidRDefault="00E1024C" w:rsidP="00AD686A">
            <w:pPr>
              <w:spacing w:after="0" w:line="240" w:lineRule="auto"/>
              <w:jc w:val="right"/>
              <w:rPr>
                <w:rFonts w:ascii="Calibri" w:eastAsia="Times New Roman" w:hAnsi="Calibri" w:cs="Calibri"/>
                <w:b/>
                <w:bCs/>
                <w:color w:val="000000"/>
                <w:sz w:val="20"/>
                <w:szCs w:val="20"/>
              </w:rPr>
            </w:pPr>
            <w:r w:rsidRPr="00AD686A">
              <w:rPr>
                <w:rFonts w:ascii="Calibri" w:eastAsia="Times New Roman" w:hAnsi="Calibri" w:cs="Calibri"/>
                <w:b/>
                <w:bCs/>
                <w:color w:val="000000"/>
                <w:sz w:val="20"/>
                <w:szCs w:val="20"/>
              </w:rPr>
              <w:t>1.8</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48CB76" w14:textId="77777777" w:rsidR="00E1024C" w:rsidRPr="00AD686A" w:rsidRDefault="00E1024C" w:rsidP="00AD686A">
            <w:pPr>
              <w:spacing w:after="0" w:line="240" w:lineRule="auto"/>
              <w:jc w:val="right"/>
              <w:rPr>
                <w:rFonts w:ascii="Calibri" w:eastAsia="Times New Roman" w:hAnsi="Calibri" w:cs="Calibri"/>
                <w:b/>
                <w:bCs/>
                <w:color w:val="000000"/>
                <w:sz w:val="20"/>
                <w:szCs w:val="20"/>
              </w:rPr>
            </w:pPr>
            <w:r w:rsidRPr="00AD686A">
              <w:rPr>
                <w:rFonts w:ascii="Calibri" w:eastAsia="Times New Roman" w:hAnsi="Calibri" w:cs="Calibri"/>
                <w:b/>
                <w:bCs/>
                <w:color w:val="000000"/>
                <w:sz w:val="20"/>
                <w:szCs w:val="20"/>
              </w:rPr>
              <w:t>0.4</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B262D5" w14:textId="77777777" w:rsidR="00E1024C" w:rsidRPr="00AD686A" w:rsidRDefault="00E1024C" w:rsidP="00AD686A">
            <w:pPr>
              <w:spacing w:after="0" w:line="240" w:lineRule="auto"/>
              <w:jc w:val="right"/>
              <w:rPr>
                <w:rFonts w:ascii="Calibri" w:eastAsia="Times New Roman" w:hAnsi="Calibri" w:cs="Calibri"/>
                <w:color w:val="000000"/>
                <w:sz w:val="20"/>
                <w:szCs w:val="20"/>
              </w:rPr>
            </w:pPr>
            <w:r w:rsidRPr="00AD686A">
              <w:rPr>
                <w:rFonts w:ascii="Calibri" w:eastAsia="Times New Roman" w:hAnsi="Calibri" w:cs="Calibri"/>
                <w:color w:val="000000"/>
                <w:sz w:val="20"/>
                <w:szCs w:val="20"/>
              </w:rPr>
              <w:t>7</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864DB0" w14:textId="77777777" w:rsidR="00E1024C" w:rsidRPr="00AD686A" w:rsidRDefault="00E1024C" w:rsidP="00AD686A">
            <w:pPr>
              <w:spacing w:after="0" w:line="240" w:lineRule="auto"/>
              <w:jc w:val="right"/>
              <w:rPr>
                <w:rFonts w:ascii="Calibri" w:eastAsia="Times New Roman" w:hAnsi="Calibri" w:cs="Calibri"/>
                <w:color w:val="000000"/>
                <w:sz w:val="20"/>
                <w:szCs w:val="20"/>
              </w:rPr>
            </w:pPr>
            <w:r w:rsidRPr="00AD686A">
              <w:rPr>
                <w:rFonts w:ascii="Calibri" w:eastAsia="Times New Roman" w:hAnsi="Calibri" w:cs="Calibri"/>
                <w:color w:val="000000"/>
                <w:sz w:val="20"/>
                <w:szCs w:val="20"/>
              </w:rPr>
              <w:t>1</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5F1748" w14:textId="77777777" w:rsidR="00E1024C" w:rsidRPr="00AD686A" w:rsidRDefault="00E1024C" w:rsidP="00AD686A">
            <w:pPr>
              <w:spacing w:after="0" w:line="240" w:lineRule="auto"/>
              <w:jc w:val="right"/>
              <w:rPr>
                <w:rFonts w:ascii="Calibri" w:eastAsia="Times New Roman" w:hAnsi="Calibri" w:cs="Calibri"/>
                <w:color w:val="000000"/>
                <w:sz w:val="20"/>
                <w:szCs w:val="20"/>
              </w:rPr>
            </w:pPr>
            <w:r w:rsidRPr="00AD686A">
              <w:rPr>
                <w:rFonts w:ascii="Calibri" w:eastAsia="Times New Roman" w:hAnsi="Calibri" w:cs="Calibri"/>
                <w:color w:val="000000"/>
                <w:sz w:val="20"/>
                <w:szCs w:val="20"/>
              </w:rPr>
              <w:t>2</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0CDD6D" w14:textId="77777777" w:rsidR="00E1024C" w:rsidRPr="00AD686A" w:rsidRDefault="00E1024C" w:rsidP="00AD686A">
            <w:pPr>
              <w:spacing w:after="0" w:line="240" w:lineRule="auto"/>
              <w:jc w:val="right"/>
              <w:rPr>
                <w:rFonts w:ascii="Calibri" w:eastAsia="Times New Roman" w:hAnsi="Calibri" w:cs="Calibri"/>
                <w:color w:val="000000"/>
                <w:sz w:val="20"/>
                <w:szCs w:val="20"/>
              </w:rPr>
            </w:pPr>
            <w:r w:rsidRPr="00AD686A">
              <w:rPr>
                <w:rFonts w:ascii="Calibri" w:eastAsia="Times New Roman" w:hAnsi="Calibri" w:cs="Calibri"/>
                <w:color w:val="000000"/>
                <w:sz w:val="20"/>
                <w:szCs w:val="20"/>
              </w:rPr>
              <w:t>1</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978840" w14:textId="77777777" w:rsidR="00E1024C" w:rsidRPr="00AD686A" w:rsidRDefault="00E1024C" w:rsidP="00AD686A">
            <w:pPr>
              <w:spacing w:after="0" w:line="240" w:lineRule="auto"/>
              <w:jc w:val="right"/>
              <w:rPr>
                <w:rFonts w:ascii="Calibri" w:eastAsia="Times New Roman" w:hAnsi="Calibri" w:cs="Calibri"/>
                <w:color w:val="000000"/>
                <w:sz w:val="20"/>
                <w:szCs w:val="20"/>
              </w:rPr>
            </w:pPr>
            <w:r w:rsidRPr="00AD686A">
              <w:rPr>
                <w:rFonts w:ascii="Calibri" w:eastAsia="Times New Roman" w:hAnsi="Calibri" w:cs="Calibri"/>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52B713" w14:textId="77777777" w:rsidR="00E1024C" w:rsidRPr="00AD686A" w:rsidRDefault="00E1024C" w:rsidP="00AD686A">
            <w:pPr>
              <w:spacing w:after="0" w:line="240" w:lineRule="auto"/>
              <w:jc w:val="right"/>
              <w:rPr>
                <w:rFonts w:ascii="Calibri" w:eastAsia="Times New Roman" w:hAnsi="Calibri" w:cs="Calibri"/>
                <w:color w:val="000000"/>
                <w:sz w:val="20"/>
                <w:szCs w:val="20"/>
              </w:rPr>
            </w:pPr>
            <w:r w:rsidRPr="00AD686A">
              <w:rPr>
                <w:rFonts w:ascii="Calibri" w:eastAsia="Times New Roman" w:hAnsi="Calibri" w:cs="Calibri"/>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4613BF" w14:textId="77777777" w:rsidR="00E1024C" w:rsidRPr="00AD686A" w:rsidRDefault="00E1024C" w:rsidP="00AD686A">
            <w:pPr>
              <w:spacing w:after="0" w:line="240" w:lineRule="auto"/>
              <w:jc w:val="right"/>
              <w:rPr>
                <w:rFonts w:ascii="Calibri" w:eastAsia="Times New Roman" w:hAnsi="Calibri" w:cs="Calibri"/>
                <w:color w:val="000000"/>
                <w:sz w:val="20"/>
                <w:szCs w:val="20"/>
              </w:rPr>
            </w:pPr>
            <w:r w:rsidRPr="00AD686A">
              <w:rPr>
                <w:rFonts w:ascii="Calibri" w:eastAsia="Times New Roman" w:hAnsi="Calibri" w:cs="Calibri"/>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703093" w14:textId="77777777" w:rsidR="00E1024C" w:rsidRPr="00AD686A" w:rsidRDefault="00E1024C" w:rsidP="00AD686A">
            <w:pPr>
              <w:spacing w:after="0" w:line="240" w:lineRule="auto"/>
              <w:jc w:val="right"/>
              <w:rPr>
                <w:rFonts w:ascii="Calibri" w:eastAsia="Times New Roman" w:hAnsi="Calibri" w:cs="Calibri"/>
                <w:color w:val="000000"/>
                <w:sz w:val="20"/>
                <w:szCs w:val="20"/>
              </w:rPr>
            </w:pPr>
            <w:r w:rsidRPr="00AD686A">
              <w:rPr>
                <w:rFonts w:ascii="Calibri" w:eastAsia="Times New Roman" w:hAnsi="Calibri" w:cs="Calibri"/>
                <w:color w:val="000000"/>
                <w:sz w:val="20"/>
                <w:szCs w:val="20"/>
              </w:rPr>
              <w:t>2</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0434FE" w14:textId="77777777" w:rsidR="00E1024C" w:rsidRPr="00AD686A" w:rsidRDefault="00E1024C" w:rsidP="00AD686A">
            <w:pPr>
              <w:spacing w:after="0" w:line="240" w:lineRule="auto"/>
              <w:jc w:val="right"/>
              <w:rPr>
                <w:rFonts w:ascii="Calibri" w:eastAsia="Times New Roman" w:hAnsi="Calibri" w:cs="Calibri"/>
                <w:color w:val="000000"/>
                <w:sz w:val="20"/>
                <w:szCs w:val="20"/>
              </w:rPr>
            </w:pPr>
            <w:r w:rsidRPr="00AD686A">
              <w:rPr>
                <w:rFonts w:ascii="Calibri" w:eastAsia="Times New Roman" w:hAnsi="Calibri" w:cs="Calibri"/>
                <w:color w:val="000000"/>
                <w:sz w:val="20"/>
                <w:szCs w:val="20"/>
              </w:rPr>
              <w:t>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71D9F4" w14:textId="77777777" w:rsidR="00E1024C" w:rsidRPr="00AD686A" w:rsidRDefault="00E1024C" w:rsidP="00AD686A">
            <w:pPr>
              <w:spacing w:after="0" w:line="240" w:lineRule="auto"/>
              <w:jc w:val="right"/>
              <w:rPr>
                <w:rFonts w:ascii="Calibri" w:eastAsia="Times New Roman" w:hAnsi="Calibri" w:cs="Calibri"/>
                <w:color w:val="000000"/>
                <w:sz w:val="20"/>
                <w:szCs w:val="20"/>
              </w:rPr>
            </w:pPr>
            <w:r w:rsidRPr="00AD686A">
              <w:rPr>
                <w:rFonts w:ascii="Calibri" w:eastAsia="Times New Roman" w:hAnsi="Calibri" w:cs="Calibri"/>
                <w:color w:val="000000"/>
                <w:sz w:val="20"/>
                <w:szCs w:val="20"/>
              </w:rPr>
              <w:t>1</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C32BC5" w14:textId="77777777" w:rsidR="00E1024C" w:rsidRPr="00AD686A" w:rsidRDefault="00E1024C" w:rsidP="00AD686A">
            <w:pPr>
              <w:spacing w:after="0" w:line="240" w:lineRule="auto"/>
              <w:jc w:val="right"/>
              <w:rPr>
                <w:rFonts w:ascii="Calibri" w:eastAsia="Times New Roman" w:hAnsi="Calibri" w:cs="Calibri"/>
                <w:color w:val="000000"/>
                <w:sz w:val="20"/>
                <w:szCs w:val="20"/>
              </w:rPr>
            </w:pPr>
            <w:r w:rsidRPr="00AD686A">
              <w:rPr>
                <w:rFonts w:ascii="Calibri" w:eastAsia="Times New Roman" w:hAnsi="Calibri" w:cs="Calibri"/>
                <w:color w:val="000000"/>
                <w:sz w:val="20"/>
                <w:szCs w:val="20"/>
              </w:rPr>
              <w:t>2</w:t>
            </w:r>
          </w:p>
        </w:tc>
      </w:tr>
      <w:tr w:rsidR="009554AE" w:rsidRPr="00AD686A" w14:paraId="295FABEF" w14:textId="77777777" w:rsidTr="009554AE">
        <w:trPr>
          <w:trHeight w:val="300"/>
        </w:trPr>
        <w:tc>
          <w:tcPr>
            <w:tcW w:w="11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6D6A48" w14:textId="77777777" w:rsidR="00E1024C" w:rsidRPr="00AD686A" w:rsidRDefault="00E1024C" w:rsidP="00AD686A">
            <w:pPr>
              <w:spacing w:after="0" w:line="240" w:lineRule="auto"/>
              <w:rPr>
                <w:rFonts w:ascii="Calibri" w:eastAsia="Times New Roman" w:hAnsi="Calibri" w:cs="Calibri"/>
                <w:b/>
                <w:bCs/>
                <w:color w:val="000000"/>
                <w:sz w:val="20"/>
                <w:szCs w:val="20"/>
              </w:rPr>
            </w:pPr>
            <w:r w:rsidRPr="00AD686A">
              <w:rPr>
                <w:rFonts w:ascii="Calibri" w:eastAsia="Times New Roman" w:hAnsi="Calibri" w:cs="Calibri"/>
                <w:b/>
                <w:bCs/>
                <w:color w:val="000000"/>
                <w:sz w:val="20"/>
                <w:szCs w:val="20"/>
              </w:rPr>
              <w:t>Ice</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2EC6F7" w14:textId="77777777" w:rsidR="00E1024C" w:rsidRPr="00AD686A" w:rsidRDefault="00E1024C" w:rsidP="00AD686A">
            <w:pPr>
              <w:spacing w:after="0" w:line="240" w:lineRule="auto"/>
              <w:jc w:val="right"/>
              <w:rPr>
                <w:rFonts w:ascii="Calibri" w:eastAsia="Times New Roman" w:hAnsi="Calibri" w:cs="Calibri"/>
                <w:b/>
                <w:bCs/>
                <w:color w:val="000000"/>
                <w:sz w:val="20"/>
                <w:szCs w:val="20"/>
              </w:rPr>
            </w:pPr>
            <w:r w:rsidRPr="00AD686A">
              <w:rPr>
                <w:rFonts w:ascii="Calibri" w:eastAsia="Times New Roman" w:hAnsi="Calibri" w:cs="Calibri"/>
                <w:b/>
                <w:bCs/>
                <w:color w:val="000000"/>
                <w:sz w:val="20"/>
                <w:szCs w:val="20"/>
              </w:rPr>
              <w:t>3.6</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93A1C2" w14:textId="77777777" w:rsidR="00E1024C" w:rsidRPr="00AD686A" w:rsidRDefault="00E1024C" w:rsidP="00AD686A">
            <w:pPr>
              <w:spacing w:after="0" w:line="240" w:lineRule="auto"/>
              <w:jc w:val="right"/>
              <w:rPr>
                <w:rFonts w:ascii="Calibri" w:eastAsia="Times New Roman" w:hAnsi="Calibri" w:cs="Calibri"/>
                <w:b/>
                <w:bCs/>
                <w:color w:val="000000"/>
                <w:sz w:val="20"/>
                <w:szCs w:val="20"/>
              </w:rPr>
            </w:pPr>
            <w:r w:rsidRPr="00AD686A">
              <w:rPr>
                <w:rFonts w:ascii="Calibri" w:eastAsia="Times New Roman" w:hAnsi="Calibri" w:cs="Calibri"/>
                <w:b/>
                <w:bCs/>
                <w:color w:val="000000"/>
                <w:sz w:val="20"/>
                <w:szCs w:val="20"/>
              </w:rPr>
              <w:t>1.0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B179DF" w14:textId="77777777" w:rsidR="00E1024C" w:rsidRPr="00AD686A" w:rsidRDefault="00E1024C" w:rsidP="00AD686A">
            <w:pPr>
              <w:spacing w:after="0" w:line="240" w:lineRule="auto"/>
              <w:jc w:val="right"/>
              <w:rPr>
                <w:rFonts w:ascii="Calibri" w:eastAsia="Times New Roman" w:hAnsi="Calibri" w:cs="Calibri"/>
                <w:color w:val="000000"/>
                <w:sz w:val="20"/>
                <w:szCs w:val="20"/>
              </w:rPr>
            </w:pPr>
            <w:r w:rsidRPr="00AD686A">
              <w:rPr>
                <w:rFonts w:ascii="Calibri" w:eastAsia="Times New Roman" w:hAnsi="Calibri" w:cs="Calibri"/>
                <w:color w:val="000000"/>
                <w:sz w:val="20"/>
                <w:szCs w:val="20"/>
              </w:rPr>
              <w:t>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9D5D84" w14:textId="77777777" w:rsidR="00E1024C" w:rsidRPr="00AD686A" w:rsidRDefault="00E1024C" w:rsidP="00AD686A">
            <w:pPr>
              <w:spacing w:after="0" w:line="240" w:lineRule="auto"/>
              <w:jc w:val="right"/>
              <w:rPr>
                <w:rFonts w:ascii="Calibri" w:eastAsia="Times New Roman" w:hAnsi="Calibri" w:cs="Calibri"/>
                <w:color w:val="000000"/>
                <w:sz w:val="20"/>
                <w:szCs w:val="20"/>
              </w:rPr>
            </w:pPr>
            <w:r w:rsidRPr="00AD686A">
              <w:rPr>
                <w:rFonts w:ascii="Calibri" w:eastAsia="Times New Roman" w:hAnsi="Calibri" w:cs="Calibri"/>
                <w:color w:val="000000"/>
                <w:sz w:val="20"/>
                <w:szCs w:val="20"/>
              </w:rPr>
              <w:t>4</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197461" w14:textId="77777777" w:rsidR="00E1024C" w:rsidRPr="00AD686A" w:rsidRDefault="00E1024C" w:rsidP="00AD686A">
            <w:pPr>
              <w:spacing w:after="0" w:line="240" w:lineRule="auto"/>
              <w:jc w:val="right"/>
              <w:rPr>
                <w:rFonts w:ascii="Calibri" w:eastAsia="Times New Roman" w:hAnsi="Calibri" w:cs="Calibri"/>
                <w:color w:val="000000"/>
                <w:sz w:val="20"/>
                <w:szCs w:val="20"/>
              </w:rPr>
            </w:pPr>
            <w:r w:rsidRPr="00AD686A">
              <w:rPr>
                <w:rFonts w:ascii="Calibri" w:eastAsia="Times New Roman" w:hAnsi="Calibri" w:cs="Calibri"/>
                <w:color w:val="000000"/>
                <w:sz w:val="20"/>
                <w:szCs w:val="20"/>
              </w:rPr>
              <w:t>4</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92AEDD" w14:textId="77777777" w:rsidR="00E1024C" w:rsidRPr="00AD686A" w:rsidRDefault="00E1024C" w:rsidP="00AD686A">
            <w:pPr>
              <w:spacing w:after="0" w:line="240" w:lineRule="auto"/>
              <w:jc w:val="right"/>
              <w:rPr>
                <w:rFonts w:ascii="Calibri" w:eastAsia="Times New Roman" w:hAnsi="Calibri" w:cs="Calibri"/>
                <w:color w:val="000000"/>
                <w:sz w:val="20"/>
                <w:szCs w:val="20"/>
              </w:rPr>
            </w:pPr>
            <w:r w:rsidRPr="00AD686A">
              <w:rPr>
                <w:rFonts w:ascii="Calibri" w:eastAsia="Times New Roman" w:hAnsi="Calibri" w:cs="Calibri"/>
                <w:color w:val="000000"/>
                <w:sz w:val="20"/>
                <w:szCs w:val="20"/>
              </w:rPr>
              <w:t>2</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4B376B" w14:textId="77777777" w:rsidR="00E1024C" w:rsidRPr="00AD686A" w:rsidRDefault="00E1024C" w:rsidP="00AD686A">
            <w:pPr>
              <w:spacing w:after="0" w:line="240" w:lineRule="auto"/>
              <w:jc w:val="right"/>
              <w:rPr>
                <w:rFonts w:ascii="Calibri" w:eastAsia="Times New Roman" w:hAnsi="Calibri" w:cs="Calibri"/>
                <w:color w:val="000000"/>
                <w:sz w:val="20"/>
                <w:szCs w:val="20"/>
              </w:rPr>
            </w:pPr>
            <w:r w:rsidRPr="00AD686A">
              <w:rPr>
                <w:rFonts w:ascii="Calibri" w:eastAsia="Times New Roman" w:hAnsi="Calibri" w:cs="Calibri"/>
                <w:color w:val="000000"/>
                <w:sz w:val="20"/>
                <w:szCs w:val="20"/>
              </w:rPr>
              <w:t>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99C344" w14:textId="77777777" w:rsidR="00E1024C" w:rsidRPr="00AD686A" w:rsidRDefault="00E1024C" w:rsidP="00AD686A">
            <w:pPr>
              <w:spacing w:after="0" w:line="240" w:lineRule="auto"/>
              <w:jc w:val="right"/>
              <w:rPr>
                <w:rFonts w:ascii="Calibri" w:eastAsia="Times New Roman" w:hAnsi="Calibri" w:cs="Calibri"/>
                <w:color w:val="000000"/>
                <w:sz w:val="20"/>
                <w:szCs w:val="20"/>
              </w:rPr>
            </w:pPr>
            <w:r w:rsidRPr="00AD686A">
              <w:rPr>
                <w:rFonts w:ascii="Calibri" w:eastAsia="Times New Roman" w:hAnsi="Calibri" w:cs="Calibri"/>
                <w:color w:val="000000"/>
                <w:sz w:val="20"/>
                <w:szCs w:val="20"/>
              </w:rPr>
              <w:t>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E4AE72" w14:textId="77777777" w:rsidR="00E1024C" w:rsidRPr="00AD686A" w:rsidRDefault="00E1024C" w:rsidP="00AD686A">
            <w:pPr>
              <w:spacing w:after="0" w:line="240" w:lineRule="auto"/>
              <w:jc w:val="right"/>
              <w:rPr>
                <w:rFonts w:ascii="Calibri" w:eastAsia="Times New Roman" w:hAnsi="Calibri" w:cs="Calibri"/>
                <w:color w:val="000000"/>
                <w:sz w:val="20"/>
                <w:szCs w:val="20"/>
              </w:rPr>
            </w:pPr>
            <w:r w:rsidRPr="00AD686A">
              <w:rPr>
                <w:rFonts w:ascii="Calibri" w:eastAsia="Times New Roman" w:hAnsi="Calibri" w:cs="Calibri"/>
                <w:color w:val="000000"/>
                <w:sz w:val="20"/>
                <w:szCs w:val="20"/>
              </w:rPr>
              <w:t>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04FB5E" w14:textId="77777777" w:rsidR="00E1024C" w:rsidRPr="00AD686A" w:rsidRDefault="00E1024C" w:rsidP="00AD686A">
            <w:pPr>
              <w:spacing w:after="0" w:line="240" w:lineRule="auto"/>
              <w:jc w:val="right"/>
              <w:rPr>
                <w:rFonts w:ascii="Calibri" w:eastAsia="Times New Roman" w:hAnsi="Calibri" w:cs="Calibri"/>
                <w:color w:val="000000"/>
                <w:sz w:val="20"/>
                <w:szCs w:val="20"/>
              </w:rPr>
            </w:pPr>
            <w:r w:rsidRPr="00AD686A">
              <w:rPr>
                <w:rFonts w:ascii="Calibri" w:eastAsia="Times New Roman" w:hAnsi="Calibri" w:cs="Calibri"/>
                <w:color w:val="000000"/>
                <w:sz w:val="20"/>
                <w:szCs w:val="20"/>
              </w:rPr>
              <w:t>4</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2C2896" w14:textId="77777777" w:rsidR="00E1024C" w:rsidRPr="00AD686A" w:rsidRDefault="00E1024C" w:rsidP="00AD686A">
            <w:pPr>
              <w:spacing w:after="0" w:line="240" w:lineRule="auto"/>
              <w:jc w:val="right"/>
              <w:rPr>
                <w:rFonts w:ascii="Calibri" w:eastAsia="Times New Roman" w:hAnsi="Calibri" w:cs="Calibri"/>
                <w:color w:val="000000"/>
                <w:sz w:val="20"/>
                <w:szCs w:val="20"/>
              </w:rPr>
            </w:pPr>
            <w:r w:rsidRPr="00AD686A">
              <w:rPr>
                <w:rFonts w:ascii="Calibri" w:eastAsia="Times New Roman" w:hAnsi="Calibri" w:cs="Calibri"/>
                <w:color w:val="000000"/>
                <w:sz w:val="20"/>
                <w:szCs w:val="20"/>
              </w:rPr>
              <w:t>6</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1DA808" w14:textId="77777777" w:rsidR="00E1024C" w:rsidRPr="00AD686A" w:rsidRDefault="00E1024C" w:rsidP="00AD686A">
            <w:pPr>
              <w:spacing w:after="0" w:line="240" w:lineRule="auto"/>
              <w:jc w:val="right"/>
              <w:rPr>
                <w:rFonts w:ascii="Calibri" w:eastAsia="Times New Roman" w:hAnsi="Calibri" w:cs="Calibri"/>
                <w:color w:val="000000"/>
                <w:sz w:val="20"/>
                <w:szCs w:val="20"/>
              </w:rPr>
            </w:pPr>
            <w:r w:rsidRPr="00AD686A">
              <w:rPr>
                <w:rFonts w:ascii="Calibri" w:eastAsia="Times New Roman" w:hAnsi="Calibri" w:cs="Calibri"/>
                <w:color w:val="000000"/>
                <w:sz w:val="20"/>
                <w:szCs w:val="20"/>
              </w:rPr>
              <w:t>3</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C414D3" w14:textId="77777777" w:rsidR="00E1024C" w:rsidRPr="00AD686A" w:rsidRDefault="00E1024C" w:rsidP="00AD686A">
            <w:pPr>
              <w:spacing w:after="0" w:line="240" w:lineRule="auto"/>
              <w:jc w:val="right"/>
              <w:rPr>
                <w:rFonts w:ascii="Calibri" w:eastAsia="Times New Roman" w:hAnsi="Calibri" w:cs="Calibri"/>
                <w:color w:val="000000"/>
                <w:sz w:val="20"/>
                <w:szCs w:val="20"/>
              </w:rPr>
            </w:pPr>
            <w:r w:rsidRPr="00AD686A">
              <w:rPr>
                <w:rFonts w:ascii="Calibri" w:eastAsia="Times New Roman" w:hAnsi="Calibri" w:cs="Calibri"/>
                <w:color w:val="000000"/>
                <w:sz w:val="20"/>
                <w:szCs w:val="20"/>
              </w:rPr>
              <w:t>4</w:t>
            </w:r>
          </w:p>
        </w:tc>
      </w:tr>
      <w:tr w:rsidR="009554AE" w:rsidRPr="00AD686A" w14:paraId="7E80CA6B" w14:textId="77777777" w:rsidTr="009554AE">
        <w:trPr>
          <w:trHeight w:val="564"/>
        </w:trPr>
        <w:tc>
          <w:tcPr>
            <w:tcW w:w="11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53BC06" w14:textId="77777777" w:rsidR="00E1024C" w:rsidRPr="00AD686A" w:rsidRDefault="00E1024C" w:rsidP="00AD686A">
            <w:pPr>
              <w:spacing w:after="0" w:line="240" w:lineRule="auto"/>
              <w:rPr>
                <w:rFonts w:ascii="Calibri" w:eastAsia="Times New Roman" w:hAnsi="Calibri" w:cs="Calibri"/>
                <w:b/>
                <w:bCs/>
                <w:color w:val="000000"/>
                <w:sz w:val="20"/>
                <w:szCs w:val="20"/>
              </w:rPr>
            </w:pPr>
            <w:r w:rsidRPr="00AD686A">
              <w:rPr>
                <w:rFonts w:ascii="Calibri" w:eastAsia="Times New Roman" w:hAnsi="Calibri" w:cs="Calibri"/>
                <w:b/>
                <w:bCs/>
                <w:color w:val="000000"/>
                <w:sz w:val="20"/>
                <w:szCs w:val="20"/>
              </w:rPr>
              <w:t>Fluvial Erosion</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471D40" w14:textId="77777777" w:rsidR="00E1024C" w:rsidRPr="00AD686A" w:rsidRDefault="00E1024C" w:rsidP="00AD686A">
            <w:pPr>
              <w:spacing w:after="0" w:line="240" w:lineRule="auto"/>
              <w:jc w:val="right"/>
              <w:rPr>
                <w:rFonts w:ascii="Calibri" w:eastAsia="Times New Roman" w:hAnsi="Calibri" w:cs="Calibri"/>
                <w:b/>
                <w:bCs/>
                <w:color w:val="000000"/>
                <w:sz w:val="20"/>
                <w:szCs w:val="20"/>
              </w:rPr>
            </w:pPr>
            <w:r w:rsidRPr="00AD686A">
              <w:rPr>
                <w:rFonts w:ascii="Calibri" w:eastAsia="Times New Roman" w:hAnsi="Calibri" w:cs="Calibri"/>
                <w:b/>
                <w:bCs/>
                <w:color w:val="000000"/>
                <w:sz w:val="20"/>
                <w:szCs w:val="20"/>
              </w:rPr>
              <w:t>3.7</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39F704" w14:textId="77777777" w:rsidR="00E1024C" w:rsidRPr="00AD686A" w:rsidRDefault="00E1024C" w:rsidP="00AD686A">
            <w:pPr>
              <w:spacing w:after="0" w:line="240" w:lineRule="auto"/>
              <w:jc w:val="right"/>
              <w:rPr>
                <w:rFonts w:ascii="Calibri" w:eastAsia="Times New Roman" w:hAnsi="Calibri" w:cs="Calibri"/>
                <w:b/>
                <w:bCs/>
                <w:color w:val="000000"/>
                <w:sz w:val="20"/>
                <w:szCs w:val="20"/>
              </w:rPr>
            </w:pPr>
            <w:r w:rsidRPr="00AD686A">
              <w:rPr>
                <w:rFonts w:ascii="Calibri" w:eastAsia="Times New Roman" w:hAnsi="Calibri" w:cs="Calibri"/>
                <w:b/>
                <w:bCs/>
                <w:color w:val="000000"/>
                <w:sz w:val="20"/>
                <w:szCs w:val="20"/>
              </w:rPr>
              <w:t>-1.4</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C63B55" w14:textId="77777777" w:rsidR="00E1024C" w:rsidRPr="00AD686A" w:rsidRDefault="00E1024C" w:rsidP="00AD686A">
            <w:pPr>
              <w:spacing w:after="0" w:line="240" w:lineRule="auto"/>
              <w:jc w:val="right"/>
              <w:rPr>
                <w:rFonts w:ascii="Calibri" w:eastAsia="Times New Roman" w:hAnsi="Calibri" w:cs="Calibri"/>
                <w:color w:val="000000"/>
                <w:sz w:val="20"/>
                <w:szCs w:val="20"/>
              </w:rPr>
            </w:pPr>
            <w:r w:rsidRPr="00AD686A">
              <w:rPr>
                <w:rFonts w:ascii="Calibri" w:eastAsia="Times New Roman" w:hAnsi="Calibri" w:cs="Calibri"/>
                <w:color w:val="000000"/>
                <w:sz w:val="20"/>
                <w:szCs w:val="20"/>
              </w:rPr>
              <w:t>6</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DEEE6B" w14:textId="77777777" w:rsidR="00E1024C" w:rsidRPr="00AD686A" w:rsidRDefault="00E1024C" w:rsidP="00AD686A">
            <w:pPr>
              <w:spacing w:after="0" w:line="240" w:lineRule="auto"/>
              <w:jc w:val="right"/>
              <w:rPr>
                <w:rFonts w:ascii="Calibri" w:eastAsia="Times New Roman" w:hAnsi="Calibri" w:cs="Calibri"/>
                <w:color w:val="000000"/>
                <w:sz w:val="20"/>
                <w:szCs w:val="20"/>
              </w:rPr>
            </w:pPr>
            <w:r w:rsidRPr="00AD686A">
              <w:rPr>
                <w:rFonts w:ascii="Calibri" w:eastAsia="Times New Roman" w:hAnsi="Calibri" w:cs="Calibri"/>
                <w:color w:val="000000"/>
                <w:sz w:val="20"/>
                <w:szCs w:val="20"/>
              </w:rPr>
              <w:t>2</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6D3DBC" w14:textId="77777777" w:rsidR="00E1024C" w:rsidRPr="00AD686A" w:rsidRDefault="00E1024C" w:rsidP="00AD686A">
            <w:pPr>
              <w:spacing w:after="0" w:line="240" w:lineRule="auto"/>
              <w:jc w:val="right"/>
              <w:rPr>
                <w:rFonts w:ascii="Calibri" w:eastAsia="Times New Roman" w:hAnsi="Calibri" w:cs="Calibri"/>
                <w:color w:val="000000"/>
                <w:sz w:val="20"/>
                <w:szCs w:val="20"/>
              </w:rPr>
            </w:pPr>
            <w:r w:rsidRPr="00AD686A">
              <w:rPr>
                <w:rFonts w:ascii="Calibri" w:eastAsia="Times New Roman" w:hAnsi="Calibri" w:cs="Calibri"/>
                <w:color w:val="000000"/>
                <w:sz w:val="20"/>
                <w:szCs w:val="20"/>
              </w:rPr>
              <w:t>1</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E63E58" w14:textId="77777777" w:rsidR="00E1024C" w:rsidRPr="00AD686A" w:rsidRDefault="00E1024C" w:rsidP="00AD686A">
            <w:pPr>
              <w:spacing w:after="0" w:line="240" w:lineRule="auto"/>
              <w:jc w:val="right"/>
              <w:rPr>
                <w:rFonts w:ascii="Calibri" w:eastAsia="Times New Roman" w:hAnsi="Calibri" w:cs="Calibri"/>
                <w:color w:val="000000"/>
                <w:sz w:val="20"/>
                <w:szCs w:val="20"/>
              </w:rPr>
            </w:pPr>
            <w:r w:rsidRPr="00AD686A">
              <w:rPr>
                <w:rFonts w:ascii="Calibri" w:eastAsia="Times New Roman" w:hAnsi="Calibri" w:cs="Calibri"/>
                <w:color w:val="000000"/>
                <w:sz w:val="20"/>
                <w:szCs w:val="20"/>
              </w:rPr>
              <w:t>8</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F2A922" w14:textId="77777777" w:rsidR="00E1024C" w:rsidRPr="00AD686A" w:rsidRDefault="00E1024C" w:rsidP="00AD686A">
            <w:pPr>
              <w:spacing w:after="0" w:line="240" w:lineRule="auto"/>
              <w:jc w:val="right"/>
              <w:rPr>
                <w:rFonts w:ascii="Calibri" w:eastAsia="Times New Roman" w:hAnsi="Calibri" w:cs="Calibri"/>
                <w:color w:val="000000"/>
                <w:sz w:val="20"/>
                <w:szCs w:val="20"/>
              </w:rPr>
            </w:pPr>
            <w:r w:rsidRPr="00AD686A">
              <w:rPr>
                <w:rFonts w:ascii="Calibri" w:eastAsia="Times New Roman" w:hAnsi="Calibri" w:cs="Calibri"/>
                <w:color w:val="000000"/>
                <w:sz w:val="20"/>
                <w:szCs w:val="20"/>
              </w:rPr>
              <w:t>8</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4F5E3C" w14:textId="77777777" w:rsidR="00E1024C" w:rsidRPr="00AD686A" w:rsidRDefault="00E1024C" w:rsidP="00AD686A">
            <w:pPr>
              <w:spacing w:after="0" w:line="240" w:lineRule="auto"/>
              <w:jc w:val="right"/>
              <w:rPr>
                <w:rFonts w:ascii="Calibri" w:eastAsia="Times New Roman" w:hAnsi="Calibri" w:cs="Calibri"/>
                <w:color w:val="000000"/>
                <w:sz w:val="20"/>
                <w:szCs w:val="20"/>
              </w:rPr>
            </w:pPr>
            <w:r w:rsidRPr="00AD686A">
              <w:rPr>
                <w:rFonts w:ascii="Calibri" w:eastAsia="Times New Roman" w:hAnsi="Calibri" w:cs="Calibri"/>
                <w:color w:val="000000"/>
                <w:sz w:val="20"/>
                <w:szCs w:val="20"/>
              </w:rPr>
              <w:t>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DEF851" w14:textId="77777777" w:rsidR="00E1024C" w:rsidRPr="00AD686A" w:rsidRDefault="00E1024C" w:rsidP="00AD686A">
            <w:pPr>
              <w:spacing w:after="0" w:line="240" w:lineRule="auto"/>
              <w:jc w:val="right"/>
              <w:rPr>
                <w:rFonts w:ascii="Calibri" w:eastAsia="Times New Roman" w:hAnsi="Calibri" w:cs="Calibri"/>
                <w:color w:val="000000"/>
                <w:sz w:val="20"/>
                <w:szCs w:val="20"/>
              </w:rPr>
            </w:pPr>
            <w:r w:rsidRPr="00AD686A">
              <w:rPr>
                <w:rFonts w:ascii="Calibri" w:eastAsia="Times New Roman" w:hAnsi="Calibri" w:cs="Calibri"/>
                <w:color w:val="000000"/>
                <w:sz w:val="20"/>
                <w:szCs w:val="20"/>
              </w:rPr>
              <w:t>3</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E91111" w14:textId="77777777" w:rsidR="00E1024C" w:rsidRPr="00AD686A" w:rsidRDefault="00E1024C" w:rsidP="00AD686A">
            <w:pPr>
              <w:spacing w:after="0" w:line="240" w:lineRule="auto"/>
              <w:jc w:val="right"/>
              <w:rPr>
                <w:rFonts w:ascii="Calibri" w:eastAsia="Times New Roman" w:hAnsi="Calibri" w:cs="Calibri"/>
                <w:color w:val="000000"/>
                <w:sz w:val="20"/>
                <w:szCs w:val="20"/>
              </w:rPr>
            </w:pPr>
            <w:r w:rsidRPr="00AD686A">
              <w:rPr>
                <w:rFonts w:ascii="Calibri" w:eastAsia="Times New Roman" w:hAnsi="Calibri" w:cs="Calibri"/>
                <w:color w:val="000000"/>
                <w:sz w:val="20"/>
                <w:szCs w:val="20"/>
              </w:rPr>
              <w:t>1</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40AA9D" w14:textId="77777777" w:rsidR="00E1024C" w:rsidRPr="00AD686A" w:rsidRDefault="00E1024C" w:rsidP="00AD686A">
            <w:pPr>
              <w:spacing w:after="0" w:line="240" w:lineRule="auto"/>
              <w:jc w:val="right"/>
              <w:rPr>
                <w:rFonts w:ascii="Calibri" w:eastAsia="Times New Roman" w:hAnsi="Calibri" w:cs="Calibri"/>
                <w:color w:val="000000"/>
                <w:sz w:val="20"/>
                <w:szCs w:val="20"/>
              </w:rPr>
            </w:pPr>
            <w:r w:rsidRPr="00AD686A">
              <w:rPr>
                <w:rFonts w:ascii="Calibri" w:eastAsia="Times New Roman" w:hAnsi="Calibri" w:cs="Calibri"/>
                <w:color w:val="000000"/>
                <w:sz w:val="20"/>
                <w:szCs w:val="20"/>
              </w:rPr>
              <w:t>2</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DE4963" w14:textId="77777777" w:rsidR="00E1024C" w:rsidRPr="00AD686A" w:rsidRDefault="00E1024C" w:rsidP="00AD686A">
            <w:pPr>
              <w:spacing w:after="0" w:line="240" w:lineRule="auto"/>
              <w:jc w:val="right"/>
              <w:rPr>
                <w:rFonts w:ascii="Calibri" w:eastAsia="Times New Roman" w:hAnsi="Calibri" w:cs="Calibri"/>
                <w:color w:val="000000"/>
                <w:sz w:val="20"/>
                <w:szCs w:val="20"/>
              </w:rPr>
            </w:pPr>
            <w:r w:rsidRPr="00AD686A">
              <w:rPr>
                <w:rFonts w:ascii="Calibri" w:eastAsia="Times New Roman" w:hAnsi="Calibri" w:cs="Calibri"/>
                <w:color w:val="000000"/>
                <w:sz w:val="20"/>
                <w:szCs w:val="20"/>
              </w:rPr>
              <w:t>4</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B23AA7" w14:textId="77777777" w:rsidR="00E1024C" w:rsidRPr="00AD686A" w:rsidRDefault="00E1024C" w:rsidP="00AD686A">
            <w:pPr>
              <w:spacing w:after="0" w:line="240" w:lineRule="auto"/>
              <w:jc w:val="right"/>
              <w:rPr>
                <w:rFonts w:ascii="Calibri" w:eastAsia="Times New Roman" w:hAnsi="Calibri" w:cs="Calibri"/>
                <w:color w:val="000000"/>
                <w:sz w:val="20"/>
                <w:szCs w:val="20"/>
              </w:rPr>
            </w:pPr>
            <w:r w:rsidRPr="00AD686A">
              <w:rPr>
                <w:rFonts w:ascii="Calibri" w:eastAsia="Times New Roman" w:hAnsi="Calibri" w:cs="Calibri"/>
                <w:color w:val="000000"/>
                <w:sz w:val="20"/>
                <w:szCs w:val="20"/>
              </w:rPr>
              <w:t>1</w:t>
            </w:r>
          </w:p>
        </w:tc>
      </w:tr>
      <w:tr w:rsidR="009554AE" w:rsidRPr="00AD686A" w14:paraId="72222207" w14:textId="77777777" w:rsidTr="009554AE">
        <w:trPr>
          <w:trHeight w:val="300"/>
        </w:trPr>
        <w:tc>
          <w:tcPr>
            <w:tcW w:w="11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E25C17" w14:textId="77777777" w:rsidR="00E1024C" w:rsidRPr="00AD686A" w:rsidRDefault="00E1024C" w:rsidP="00AD686A">
            <w:pPr>
              <w:spacing w:after="0" w:line="240" w:lineRule="auto"/>
              <w:rPr>
                <w:rFonts w:ascii="Calibri" w:eastAsia="Times New Roman" w:hAnsi="Calibri" w:cs="Calibri"/>
                <w:b/>
                <w:bCs/>
                <w:color w:val="000000"/>
                <w:sz w:val="20"/>
                <w:szCs w:val="20"/>
              </w:rPr>
            </w:pPr>
            <w:r w:rsidRPr="00AD686A">
              <w:rPr>
                <w:rFonts w:ascii="Calibri" w:eastAsia="Times New Roman" w:hAnsi="Calibri" w:cs="Calibri"/>
                <w:b/>
                <w:bCs/>
                <w:color w:val="000000"/>
                <w:sz w:val="20"/>
                <w:szCs w:val="20"/>
              </w:rPr>
              <w:t>Wind</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D4CB88" w14:textId="77777777" w:rsidR="00E1024C" w:rsidRPr="00AD686A" w:rsidRDefault="00E1024C" w:rsidP="00AD686A">
            <w:pPr>
              <w:spacing w:after="0" w:line="240" w:lineRule="auto"/>
              <w:jc w:val="right"/>
              <w:rPr>
                <w:rFonts w:ascii="Calibri" w:eastAsia="Times New Roman" w:hAnsi="Calibri" w:cs="Calibri"/>
                <w:b/>
                <w:bCs/>
                <w:color w:val="000000"/>
                <w:sz w:val="20"/>
                <w:szCs w:val="20"/>
              </w:rPr>
            </w:pPr>
            <w:r w:rsidRPr="00AD686A">
              <w:rPr>
                <w:rFonts w:ascii="Calibri" w:eastAsia="Times New Roman" w:hAnsi="Calibri" w:cs="Calibri"/>
                <w:b/>
                <w:bCs/>
                <w:color w:val="000000"/>
                <w:sz w:val="20"/>
                <w:szCs w:val="20"/>
              </w:rPr>
              <w:t>4.1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90EC50" w14:textId="77777777" w:rsidR="00E1024C" w:rsidRPr="00AD686A" w:rsidRDefault="00E1024C" w:rsidP="00AD686A">
            <w:pPr>
              <w:spacing w:after="0" w:line="240" w:lineRule="auto"/>
              <w:jc w:val="right"/>
              <w:rPr>
                <w:rFonts w:ascii="Calibri" w:eastAsia="Times New Roman" w:hAnsi="Calibri" w:cs="Calibri"/>
                <w:b/>
                <w:bCs/>
                <w:color w:val="000000"/>
                <w:sz w:val="20"/>
                <w:szCs w:val="20"/>
              </w:rPr>
            </w:pPr>
            <w:r w:rsidRPr="00AD686A">
              <w:rPr>
                <w:rFonts w:ascii="Calibri" w:eastAsia="Times New Roman" w:hAnsi="Calibri" w:cs="Calibri"/>
                <w:b/>
                <w:bCs/>
                <w:color w:val="000000"/>
                <w:sz w:val="20"/>
                <w:szCs w:val="20"/>
              </w:rPr>
              <w:t>1.0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C66C9D" w14:textId="77777777" w:rsidR="00E1024C" w:rsidRPr="00AD686A" w:rsidRDefault="00E1024C" w:rsidP="00AD686A">
            <w:pPr>
              <w:spacing w:after="0" w:line="240" w:lineRule="auto"/>
              <w:jc w:val="right"/>
              <w:rPr>
                <w:rFonts w:ascii="Calibri" w:eastAsia="Times New Roman" w:hAnsi="Calibri" w:cs="Calibri"/>
                <w:color w:val="000000"/>
                <w:sz w:val="20"/>
                <w:szCs w:val="20"/>
              </w:rPr>
            </w:pPr>
            <w:r w:rsidRPr="00AD686A">
              <w:rPr>
                <w:rFonts w:ascii="Calibri" w:eastAsia="Times New Roman" w:hAnsi="Calibri" w:cs="Calibri"/>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419BAD" w14:textId="77777777" w:rsidR="00E1024C" w:rsidRPr="00AD686A" w:rsidRDefault="00E1024C" w:rsidP="00AD686A">
            <w:pPr>
              <w:spacing w:after="0" w:line="240" w:lineRule="auto"/>
              <w:jc w:val="right"/>
              <w:rPr>
                <w:rFonts w:ascii="Calibri" w:eastAsia="Times New Roman" w:hAnsi="Calibri" w:cs="Calibri"/>
                <w:color w:val="000000"/>
                <w:sz w:val="20"/>
                <w:szCs w:val="20"/>
              </w:rPr>
            </w:pPr>
            <w:r w:rsidRPr="00AD686A">
              <w:rPr>
                <w:rFonts w:ascii="Calibri" w:eastAsia="Times New Roman" w:hAnsi="Calibri" w:cs="Calibri"/>
                <w:color w:val="000000"/>
                <w:sz w:val="20"/>
                <w:szCs w:val="20"/>
              </w:rPr>
              <w:t>3</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FE111F" w14:textId="77777777" w:rsidR="00E1024C" w:rsidRPr="00AD686A" w:rsidRDefault="00E1024C" w:rsidP="00AD686A">
            <w:pPr>
              <w:spacing w:after="0" w:line="240" w:lineRule="auto"/>
              <w:jc w:val="right"/>
              <w:rPr>
                <w:rFonts w:ascii="Calibri" w:eastAsia="Times New Roman" w:hAnsi="Calibri" w:cs="Calibri"/>
                <w:color w:val="000000"/>
                <w:sz w:val="20"/>
                <w:szCs w:val="20"/>
              </w:rPr>
            </w:pPr>
            <w:r w:rsidRPr="00AD686A">
              <w:rPr>
                <w:rFonts w:ascii="Calibri" w:eastAsia="Times New Roman" w:hAnsi="Calibri" w:cs="Calibri"/>
                <w:color w:val="000000"/>
                <w:sz w:val="20"/>
                <w:szCs w:val="20"/>
              </w:rPr>
              <w:t>6</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E37A7F" w14:textId="77777777" w:rsidR="00E1024C" w:rsidRPr="00AD686A" w:rsidRDefault="00E1024C" w:rsidP="00AD686A">
            <w:pPr>
              <w:spacing w:after="0" w:line="240" w:lineRule="auto"/>
              <w:jc w:val="right"/>
              <w:rPr>
                <w:rFonts w:ascii="Calibri" w:eastAsia="Times New Roman" w:hAnsi="Calibri" w:cs="Calibri"/>
                <w:color w:val="000000"/>
                <w:sz w:val="20"/>
                <w:szCs w:val="20"/>
              </w:rPr>
            </w:pPr>
            <w:r w:rsidRPr="00AD686A">
              <w:rPr>
                <w:rFonts w:ascii="Calibri" w:eastAsia="Times New Roman" w:hAnsi="Calibri" w:cs="Calibri"/>
                <w:color w:val="000000"/>
                <w:sz w:val="20"/>
                <w:szCs w:val="20"/>
              </w:rPr>
              <w:t>3</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DF48BC" w14:textId="77777777" w:rsidR="00E1024C" w:rsidRPr="00AD686A" w:rsidRDefault="00E1024C" w:rsidP="00AD686A">
            <w:pPr>
              <w:spacing w:after="0" w:line="240" w:lineRule="auto"/>
              <w:jc w:val="right"/>
              <w:rPr>
                <w:rFonts w:ascii="Calibri" w:eastAsia="Times New Roman" w:hAnsi="Calibri" w:cs="Calibri"/>
                <w:color w:val="000000"/>
                <w:sz w:val="20"/>
                <w:szCs w:val="20"/>
              </w:rPr>
            </w:pPr>
            <w:r w:rsidRPr="00AD686A">
              <w:rPr>
                <w:rFonts w:ascii="Calibri" w:eastAsia="Times New Roman" w:hAnsi="Calibri" w:cs="Calibri"/>
                <w:color w:val="000000"/>
                <w:sz w:val="20"/>
                <w:szCs w:val="20"/>
              </w:rPr>
              <w:t>3</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F622AC" w14:textId="77777777" w:rsidR="00E1024C" w:rsidRPr="00AD686A" w:rsidRDefault="00E1024C" w:rsidP="00AD686A">
            <w:pPr>
              <w:spacing w:after="0" w:line="240" w:lineRule="auto"/>
              <w:jc w:val="right"/>
              <w:rPr>
                <w:rFonts w:ascii="Calibri" w:eastAsia="Times New Roman" w:hAnsi="Calibri" w:cs="Calibri"/>
                <w:color w:val="000000"/>
                <w:sz w:val="20"/>
                <w:szCs w:val="20"/>
              </w:rPr>
            </w:pPr>
            <w:r w:rsidRPr="00AD686A">
              <w:rPr>
                <w:rFonts w:ascii="Calibri" w:eastAsia="Times New Roman" w:hAnsi="Calibri" w:cs="Calibri"/>
                <w:color w:val="000000"/>
                <w:sz w:val="20"/>
                <w:szCs w:val="20"/>
              </w:rPr>
              <w:t>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9CFA2C" w14:textId="77777777" w:rsidR="00E1024C" w:rsidRPr="00AD686A" w:rsidRDefault="00E1024C" w:rsidP="00AD686A">
            <w:pPr>
              <w:spacing w:after="0" w:line="240" w:lineRule="auto"/>
              <w:jc w:val="right"/>
              <w:rPr>
                <w:rFonts w:ascii="Calibri" w:eastAsia="Times New Roman" w:hAnsi="Calibri" w:cs="Calibri"/>
                <w:color w:val="000000"/>
                <w:sz w:val="20"/>
                <w:szCs w:val="20"/>
              </w:rPr>
            </w:pPr>
            <w:r w:rsidRPr="00AD686A">
              <w:rPr>
                <w:rFonts w:ascii="Calibri" w:eastAsia="Times New Roman" w:hAnsi="Calibri" w:cs="Calibri"/>
                <w:color w:val="000000"/>
                <w:sz w:val="20"/>
                <w:szCs w:val="20"/>
              </w:rPr>
              <w:t>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365416" w14:textId="77777777" w:rsidR="00E1024C" w:rsidRPr="00AD686A" w:rsidRDefault="00E1024C" w:rsidP="00AD686A">
            <w:pPr>
              <w:spacing w:after="0" w:line="240" w:lineRule="auto"/>
              <w:jc w:val="right"/>
              <w:rPr>
                <w:rFonts w:ascii="Calibri" w:eastAsia="Times New Roman" w:hAnsi="Calibri" w:cs="Calibri"/>
                <w:color w:val="000000"/>
                <w:sz w:val="20"/>
                <w:szCs w:val="20"/>
              </w:rPr>
            </w:pPr>
            <w:r w:rsidRPr="00AD686A">
              <w:rPr>
                <w:rFonts w:ascii="Calibri" w:eastAsia="Times New Roman" w:hAnsi="Calibri" w:cs="Calibri"/>
                <w:color w:val="000000"/>
                <w:sz w:val="20"/>
                <w:szCs w:val="20"/>
              </w:rPr>
              <w:t>3</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448B44" w14:textId="77777777" w:rsidR="00E1024C" w:rsidRPr="00AD686A" w:rsidRDefault="00E1024C" w:rsidP="00AD686A">
            <w:pPr>
              <w:spacing w:after="0" w:line="240" w:lineRule="auto"/>
              <w:jc w:val="right"/>
              <w:rPr>
                <w:rFonts w:ascii="Calibri" w:eastAsia="Times New Roman" w:hAnsi="Calibri" w:cs="Calibri"/>
                <w:color w:val="000000"/>
                <w:sz w:val="20"/>
                <w:szCs w:val="20"/>
              </w:rPr>
            </w:pPr>
            <w:r w:rsidRPr="00AD686A">
              <w:rPr>
                <w:rFonts w:ascii="Calibri" w:eastAsia="Times New Roman" w:hAnsi="Calibri" w:cs="Calibri"/>
                <w:color w:val="000000"/>
                <w:sz w:val="20"/>
                <w:szCs w:val="20"/>
              </w:rPr>
              <w:t>4</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9F56D2" w14:textId="77777777" w:rsidR="00E1024C" w:rsidRPr="00AD686A" w:rsidRDefault="00E1024C" w:rsidP="00AD686A">
            <w:pPr>
              <w:spacing w:after="0" w:line="240" w:lineRule="auto"/>
              <w:jc w:val="right"/>
              <w:rPr>
                <w:rFonts w:ascii="Calibri" w:eastAsia="Times New Roman" w:hAnsi="Calibri" w:cs="Calibri"/>
                <w:color w:val="000000"/>
                <w:sz w:val="20"/>
                <w:szCs w:val="20"/>
              </w:rPr>
            </w:pPr>
            <w:r w:rsidRPr="00AD686A">
              <w:rPr>
                <w:rFonts w:ascii="Calibri" w:eastAsia="Times New Roman" w:hAnsi="Calibri" w:cs="Calibri"/>
                <w:color w:val="000000"/>
                <w:sz w:val="20"/>
                <w:szCs w:val="20"/>
              </w:rPr>
              <w:t>13</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D262BA" w14:textId="77777777" w:rsidR="00E1024C" w:rsidRPr="00AD686A" w:rsidRDefault="00E1024C" w:rsidP="00AD686A">
            <w:pPr>
              <w:spacing w:after="0" w:line="240" w:lineRule="auto"/>
              <w:jc w:val="right"/>
              <w:rPr>
                <w:rFonts w:ascii="Calibri" w:eastAsia="Times New Roman" w:hAnsi="Calibri" w:cs="Calibri"/>
                <w:color w:val="000000"/>
                <w:sz w:val="20"/>
                <w:szCs w:val="20"/>
              </w:rPr>
            </w:pPr>
            <w:r w:rsidRPr="00AD686A">
              <w:rPr>
                <w:rFonts w:ascii="Calibri" w:eastAsia="Times New Roman" w:hAnsi="Calibri" w:cs="Calibri"/>
                <w:color w:val="000000"/>
                <w:sz w:val="20"/>
                <w:szCs w:val="20"/>
              </w:rPr>
              <w:t>3</w:t>
            </w:r>
          </w:p>
        </w:tc>
      </w:tr>
      <w:tr w:rsidR="009554AE" w:rsidRPr="00AD686A" w14:paraId="79403B59" w14:textId="77777777" w:rsidTr="009554AE">
        <w:trPr>
          <w:trHeight w:val="300"/>
        </w:trPr>
        <w:tc>
          <w:tcPr>
            <w:tcW w:w="11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806A0B" w14:textId="77777777" w:rsidR="00E1024C" w:rsidRPr="00AD686A" w:rsidRDefault="00E1024C" w:rsidP="00AD686A">
            <w:pPr>
              <w:spacing w:after="0" w:line="240" w:lineRule="auto"/>
              <w:rPr>
                <w:rFonts w:ascii="Calibri" w:eastAsia="Times New Roman" w:hAnsi="Calibri" w:cs="Calibri"/>
                <w:b/>
                <w:bCs/>
                <w:color w:val="000000"/>
                <w:sz w:val="20"/>
                <w:szCs w:val="20"/>
              </w:rPr>
            </w:pPr>
            <w:r w:rsidRPr="00AD686A">
              <w:rPr>
                <w:rFonts w:ascii="Calibri" w:eastAsia="Times New Roman" w:hAnsi="Calibri" w:cs="Calibri"/>
                <w:b/>
                <w:bCs/>
                <w:color w:val="000000"/>
                <w:sz w:val="20"/>
                <w:szCs w:val="20"/>
              </w:rPr>
              <w:t>Snow</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1E4EE7" w14:textId="77777777" w:rsidR="00E1024C" w:rsidRPr="00AD686A" w:rsidRDefault="00E1024C" w:rsidP="00AD686A">
            <w:pPr>
              <w:spacing w:after="0" w:line="240" w:lineRule="auto"/>
              <w:jc w:val="right"/>
              <w:rPr>
                <w:rFonts w:ascii="Calibri" w:eastAsia="Times New Roman" w:hAnsi="Calibri" w:cs="Calibri"/>
                <w:b/>
                <w:bCs/>
                <w:color w:val="000000"/>
                <w:sz w:val="20"/>
                <w:szCs w:val="20"/>
              </w:rPr>
            </w:pPr>
            <w:r w:rsidRPr="00AD686A">
              <w:rPr>
                <w:rFonts w:ascii="Calibri" w:eastAsia="Times New Roman" w:hAnsi="Calibri" w:cs="Calibri"/>
                <w:b/>
                <w:bCs/>
                <w:color w:val="000000"/>
                <w:sz w:val="20"/>
                <w:szCs w:val="20"/>
              </w:rPr>
              <w:t>4.5</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C5A824" w14:textId="77777777" w:rsidR="00E1024C" w:rsidRPr="00AD686A" w:rsidRDefault="00E1024C" w:rsidP="00AD686A">
            <w:pPr>
              <w:spacing w:after="0" w:line="240" w:lineRule="auto"/>
              <w:jc w:val="right"/>
              <w:rPr>
                <w:rFonts w:ascii="Calibri" w:eastAsia="Times New Roman" w:hAnsi="Calibri" w:cs="Calibri"/>
                <w:b/>
                <w:bCs/>
                <w:color w:val="000000"/>
                <w:sz w:val="20"/>
                <w:szCs w:val="20"/>
              </w:rPr>
            </w:pPr>
            <w:r w:rsidRPr="00AD686A">
              <w:rPr>
                <w:rFonts w:ascii="Calibri" w:eastAsia="Times New Roman" w:hAnsi="Calibri" w:cs="Calibri"/>
                <w:b/>
                <w:bCs/>
                <w:color w:val="000000"/>
                <w:sz w:val="20"/>
                <w:szCs w:val="20"/>
              </w:rPr>
              <w:t>0.0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D05E12" w14:textId="77777777" w:rsidR="00E1024C" w:rsidRPr="00AD686A" w:rsidRDefault="00E1024C" w:rsidP="00AD686A">
            <w:pPr>
              <w:spacing w:after="0" w:line="240" w:lineRule="auto"/>
              <w:jc w:val="right"/>
              <w:rPr>
                <w:rFonts w:ascii="Calibri" w:eastAsia="Times New Roman" w:hAnsi="Calibri" w:cs="Calibri"/>
                <w:color w:val="000000"/>
                <w:sz w:val="20"/>
                <w:szCs w:val="20"/>
              </w:rPr>
            </w:pPr>
            <w:r w:rsidRPr="00AD686A">
              <w:rPr>
                <w:rFonts w:ascii="Calibri" w:eastAsia="Times New Roman" w:hAnsi="Calibri" w:cs="Calibri"/>
                <w:color w:val="000000"/>
                <w:sz w:val="20"/>
                <w:szCs w:val="20"/>
              </w:rPr>
              <w:t>3</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B5AF14" w14:textId="77777777" w:rsidR="00E1024C" w:rsidRPr="00AD686A" w:rsidRDefault="00E1024C" w:rsidP="00AD686A">
            <w:pPr>
              <w:spacing w:after="0" w:line="240" w:lineRule="auto"/>
              <w:jc w:val="right"/>
              <w:rPr>
                <w:rFonts w:ascii="Calibri" w:eastAsia="Times New Roman" w:hAnsi="Calibri" w:cs="Calibri"/>
                <w:color w:val="000000"/>
                <w:sz w:val="20"/>
                <w:szCs w:val="20"/>
              </w:rPr>
            </w:pPr>
            <w:r w:rsidRPr="00AD686A">
              <w:rPr>
                <w:rFonts w:ascii="Calibri" w:eastAsia="Times New Roman" w:hAnsi="Calibri" w:cs="Calibri"/>
                <w:color w:val="000000"/>
                <w:sz w:val="20"/>
                <w:szCs w:val="20"/>
              </w:rPr>
              <w:t>5</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0A8A99" w14:textId="77777777" w:rsidR="00E1024C" w:rsidRPr="00AD686A" w:rsidRDefault="00E1024C" w:rsidP="00AD686A">
            <w:pPr>
              <w:spacing w:after="0" w:line="240" w:lineRule="auto"/>
              <w:jc w:val="right"/>
              <w:rPr>
                <w:rFonts w:ascii="Calibri" w:eastAsia="Times New Roman" w:hAnsi="Calibri" w:cs="Calibri"/>
                <w:color w:val="000000"/>
                <w:sz w:val="20"/>
                <w:szCs w:val="20"/>
              </w:rPr>
            </w:pPr>
            <w:r w:rsidRPr="00AD686A">
              <w:rPr>
                <w:rFonts w:ascii="Calibri" w:eastAsia="Times New Roman" w:hAnsi="Calibri" w:cs="Calibri"/>
                <w:color w:val="000000"/>
                <w:sz w:val="20"/>
                <w:szCs w:val="20"/>
              </w:rPr>
              <w:t>5</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7404D9" w14:textId="77777777" w:rsidR="00E1024C" w:rsidRPr="00AD686A" w:rsidRDefault="00E1024C" w:rsidP="00AD686A">
            <w:pPr>
              <w:spacing w:after="0" w:line="240" w:lineRule="auto"/>
              <w:jc w:val="right"/>
              <w:rPr>
                <w:rFonts w:ascii="Calibri" w:eastAsia="Times New Roman" w:hAnsi="Calibri" w:cs="Calibri"/>
                <w:color w:val="000000"/>
                <w:sz w:val="20"/>
                <w:szCs w:val="20"/>
              </w:rPr>
            </w:pPr>
            <w:r w:rsidRPr="00AD686A">
              <w:rPr>
                <w:rFonts w:ascii="Calibri" w:eastAsia="Times New Roman" w:hAnsi="Calibri" w:cs="Calibri"/>
                <w:color w:val="000000"/>
                <w:sz w:val="20"/>
                <w:szCs w:val="20"/>
              </w:rPr>
              <w:t>4</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EAB693" w14:textId="77777777" w:rsidR="00E1024C" w:rsidRPr="00AD686A" w:rsidRDefault="00E1024C" w:rsidP="00AD686A">
            <w:pPr>
              <w:spacing w:after="0" w:line="240" w:lineRule="auto"/>
              <w:jc w:val="right"/>
              <w:rPr>
                <w:rFonts w:ascii="Calibri" w:eastAsia="Times New Roman" w:hAnsi="Calibri" w:cs="Calibri"/>
                <w:color w:val="000000"/>
                <w:sz w:val="20"/>
                <w:szCs w:val="20"/>
              </w:rPr>
            </w:pPr>
            <w:r w:rsidRPr="00AD686A">
              <w:rPr>
                <w:rFonts w:ascii="Calibri" w:eastAsia="Times New Roman" w:hAnsi="Calibri" w:cs="Calibri"/>
                <w:color w:val="000000"/>
                <w:sz w:val="20"/>
                <w:szCs w:val="20"/>
              </w:rPr>
              <w:t>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6AF2A8" w14:textId="77777777" w:rsidR="00E1024C" w:rsidRPr="00AD686A" w:rsidRDefault="00E1024C" w:rsidP="00AD686A">
            <w:pPr>
              <w:spacing w:after="0" w:line="240" w:lineRule="auto"/>
              <w:jc w:val="right"/>
              <w:rPr>
                <w:rFonts w:ascii="Calibri" w:eastAsia="Times New Roman" w:hAnsi="Calibri" w:cs="Calibri"/>
                <w:color w:val="000000"/>
                <w:sz w:val="20"/>
                <w:szCs w:val="20"/>
              </w:rPr>
            </w:pPr>
            <w:r w:rsidRPr="00AD686A">
              <w:rPr>
                <w:rFonts w:ascii="Calibri" w:eastAsia="Times New Roman" w:hAnsi="Calibri" w:cs="Calibri"/>
                <w:color w:val="000000"/>
                <w:sz w:val="20"/>
                <w:szCs w:val="20"/>
              </w:rPr>
              <w:t>6</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EBD4EC" w14:textId="77777777" w:rsidR="00E1024C" w:rsidRPr="00AD686A" w:rsidRDefault="00E1024C" w:rsidP="00AD686A">
            <w:pPr>
              <w:spacing w:after="0" w:line="240" w:lineRule="auto"/>
              <w:jc w:val="right"/>
              <w:rPr>
                <w:rFonts w:ascii="Calibri" w:eastAsia="Times New Roman" w:hAnsi="Calibri" w:cs="Calibri"/>
                <w:color w:val="000000"/>
                <w:sz w:val="20"/>
                <w:szCs w:val="20"/>
              </w:rPr>
            </w:pPr>
            <w:r w:rsidRPr="00AD686A">
              <w:rPr>
                <w:rFonts w:ascii="Calibri" w:eastAsia="Times New Roman" w:hAnsi="Calibri" w:cs="Calibri"/>
                <w:color w:val="000000"/>
                <w:sz w:val="20"/>
                <w:szCs w:val="20"/>
              </w:rPr>
              <w:t>6</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543CED" w14:textId="77777777" w:rsidR="00E1024C" w:rsidRPr="00AD686A" w:rsidRDefault="00E1024C" w:rsidP="00AD686A">
            <w:pPr>
              <w:spacing w:after="0" w:line="240" w:lineRule="auto"/>
              <w:jc w:val="right"/>
              <w:rPr>
                <w:rFonts w:ascii="Calibri" w:eastAsia="Times New Roman" w:hAnsi="Calibri" w:cs="Calibri"/>
                <w:color w:val="000000"/>
                <w:sz w:val="20"/>
                <w:szCs w:val="20"/>
              </w:rPr>
            </w:pPr>
            <w:r w:rsidRPr="00AD686A">
              <w:rPr>
                <w:rFonts w:ascii="Calibri" w:eastAsia="Times New Roman" w:hAnsi="Calibri" w:cs="Calibri"/>
                <w:color w:val="000000"/>
                <w:sz w:val="20"/>
                <w:szCs w:val="20"/>
              </w:rPr>
              <w:t>6</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B205BF" w14:textId="77777777" w:rsidR="00E1024C" w:rsidRPr="00AD686A" w:rsidRDefault="00E1024C" w:rsidP="00AD686A">
            <w:pPr>
              <w:spacing w:after="0" w:line="240" w:lineRule="auto"/>
              <w:jc w:val="right"/>
              <w:rPr>
                <w:rFonts w:ascii="Calibri" w:eastAsia="Times New Roman" w:hAnsi="Calibri" w:cs="Calibri"/>
                <w:color w:val="000000"/>
                <w:sz w:val="20"/>
                <w:szCs w:val="20"/>
              </w:rPr>
            </w:pPr>
            <w:r w:rsidRPr="00AD686A">
              <w:rPr>
                <w:rFonts w:ascii="Calibri" w:eastAsia="Times New Roman" w:hAnsi="Calibri" w:cs="Calibri"/>
                <w:color w:val="000000"/>
                <w:sz w:val="20"/>
                <w:szCs w:val="20"/>
              </w:rPr>
              <w:t>5</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934C52" w14:textId="77777777" w:rsidR="00E1024C" w:rsidRPr="00AD686A" w:rsidRDefault="00E1024C" w:rsidP="00AD686A">
            <w:pPr>
              <w:spacing w:after="0" w:line="240" w:lineRule="auto"/>
              <w:jc w:val="right"/>
              <w:rPr>
                <w:rFonts w:ascii="Calibri" w:eastAsia="Times New Roman" w:hAnsi="Calibri" w:cs="Calibri"/>
                <w:color w:val="000000"/>
                <w:sz w:val="20"/>
                <w:szCs w:val="20"/>
              </w:rPr>
            </w:pPr>
            <w:r w:rsidRPr="00AD686A">
              <w:rPr>
                <w:rFonts w:ascii="Calibri" w:eastAsia="Times New Roman" w:hAnsi="Calibri" w:cs="Calibri"/>
                <w:color w:val="000000"/>
                <w:sz w:val="20"/>
                <w:szCs w:val="20"/>
              </w:rPr>
              <w:t>2</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E3E120" w14:textId="77777777" w:rsidR="00E1024C" w:rsidRPr="00AD686A" w:rsidRDefault="00E1024C" w:rsidP="00AD686A">
            <w:pPr>
              <w:spacing w:after="0" w:line="240" w:lineRule="auto"/>
              <w:jc w:val="right"/>
              <w:rPr>
                <w:rFonts w:ascii="Calibri" w:eastAsia="Times New Roman" w:hAnsi="Calibri" w:cs="Calibri"/>
                <w:color w:val="000000"/>
                <w:sz w:val="20"/>
                <w:szCs w:val="20"/>
              </w:rPr>
            </w:pPr>
            <w:r w:rsidRPr="00AD686A">
              <w:rPr>
                <w:rFonts w:ascii="Calibri" w:eastAsia="Times New Roman" w:hAnsi="Calibri" w:cs="Calibri"/>
                <w:color w:val="000000"/>
                <w:sz w:val="20"/>
                <w:szCs w:val="20"/>
              </w:rPr>
              <w:t>5</w:t>
            </w:r>
          </w:p>
        </w:tc>
      </w:tr>
      <w:tr w:rsidR="009554AE" w:rsidRPr="00AD686A" w14:paraId="7278BF83" w14:textId="77777777" w:rsidTr="009554AE">
        <w:trPr>
          <w:trHeight w:val="300"/>
        </w:trPr>
        <w:tc>
          <w:tcPr>
            <w:tcW w:w="11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31C469" w14:textId="77777777" w:rsidR="00E1024C" w:rsidRPr="00AD686A" w:rsidRDefault="00E1024C" w:rsidP="00AD686A">
            <w:pPr>
              <w:spacing w:after="0" w:line="240" w:lineRule="auto"/>
              <w:rPr>
                <w:rFonts w:ascii="Calibri" w:eastAsia="Times New Roman" w:hAnsi="Calibri" w:cs="Calibri"/>
                <w:b/>
                <w:bCs/>
                <w:color w:val="000000"/>
                <w:sz w:val="20"/>
                <w:szCs w:val="20"/>
              </w:rPr>
            </w:pPr>
            <w:r w:rsidRPr="00AD686A">
              <w:rPr>
                <w:rFonts w:ascii="Calibri" w:eastAsia="Times New Roman" w:hAnsi="Calibri" w:cs="Calibri"/>
                <w:b/>
                <w:bCs/>
                <w:color w:val="000000"/>
                <w:sz w:val="20"/>
                <w:szCs w:val="20"/>
              </w:rPr>
              <w:t>Cold</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D59616" w14:textId="77777777" w:rsidR="00E1024C" w:rsidRPr="00AD686A" w:rsidRDefault="00E1024C" w:rsidP="00AD686A">
            <w:pPr>
              <w:spacing w:after="0" w:line="240" w:lineRule="auto"/>
              <w:jc w:val="right"/>
              <w:rPr>
                <w:rFonts w:ascii="Calibri" w:eastAsia="Times New Roman" w:hAnsi="Calibri" w:cs="Calibri"/>
                <w:b/>
                <w:bCs/>
                <w:color w:val="000000"/>
                <w:sz w:val="20"/>
                <w:szCs w:val="20"/>
              </w:rPr>
            </w:pPr>
            <w:r w:rsidRPr="00AD686A">
              <w:rPr>
                <w:rFonts w:ascii="Calibri" w:eastAsia="Times New Roman" w:hAnsi="Calibri" w:cs="Calibri"/>
                <w:b/>
                <w:bCs/>
                <w:color w:val="000000"/>
                <w:sz w:val="20"/>
                <w:szCs w:val="20"/>
              </w:rPr>
              <w:t>5.9</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EB6C3D" w14:textId="77777777" w:rsidR="00E1024C" w:rsidRPr="00AD686A" w:rsidRDefault="00E1024C" w:rsidP="00AD686A">
            <w:pPr>
              <w:spacing w:after="0" w:line="240" w:lineRule="auto"/>
              <w:jc w:val="right"/>
              <w:rPr>
                <w:rFonts w:ascii="Calibri" w:eastAsia="Times New Roman" w:hAnsi="Calibri" w:cs="Calibri"/>
                <w:b/>
                <w:bCs/>
                <w:color w:val="000000"/>
                <w:sz w:val="20"/>
                <w:szCs w:val="20"/>
              </w:rPr>
            </w:pPr>
            <w:r w:rsidRPr="00AD686A">
              <w:rPr>
                <w:rFonts w:ascii="Calibri" w:eastAsia="Times New Roman" w:hAnsi="Calibri" w:cs="Calibri"/>
                <w:b/>
                <w:bCs/>
                <w:color w:val="000000"/>
                <w:sz w:val="20"/>
                <w:szCs w:val="20"/>
              </w:rPr>
              <w:t>1.5</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A42261" w14:textId="77777777" w:rsidR="00E1024C" w:rsidRPr="00AD686A" w:rsidRDefault="00E1024C" w:rsidP="00AD686A">
            <w:pPr>
              <w:spacing w:after="0" w:line="240" w:lineRule="auto"/>
              <w:jc w:val="right"/>
              <w:rPr>
                <w:rFonts w:ascii="Calibri" w:eastAsia="Times New Roman" w:hAnsi="Calibri" w:cs="Calibri"/>
                <w:color w:val="000000"/>
                <w:sz w:val="20"/>
                <w:szCs w:val="20"/>
              </w:rPr>
            </w:pPr>
            <w:r w:rsidRPr="00AD686A">
              <w:rPr>
                <w:rFonts w:ascii="Calibri" w:eastAsia="Times New Roman" w:hAnsi="Calibri" w:cs="Calibri"/>
                <w:color w:val="000000"/>
                <w:sz w:val="20"/>
                <w:szCs w:val="20"/>
              </w:rPr>
              <w:t>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C7E26E" w14:textId="77777777" w:rsidR="00E1024C" w:rsidRPr="00AD686A" w:rsidRDefault="00E1024C" w:rsidP="00AD686A">
            <w:pPr>
              <w:spacing w:after="0" w:line="240" w:lineRule="auto"/>
              <w:jc w:val="right"/>
              <w:rPr>
                <w:rFonts w:ascii="Calibri" w:eastAsia="Times New Roman" w:hAnsi="Calibri" w:cs="Calibri"/>
                <w:color w:val="000000"/>
                <w:sz w:val="20"/>
                <w:szCs w:val="20"/>
              </w:rPr>
            </w:pPr>
            <w:r w:rsidRPr="00AD686A">
              <w:rPr>
                <w:rFonts w:ascii="Calibri" w:eastAsia="Times New Roman" w:hAnsi="Calibri" w:cs="Calibri"/>
                <w:color w:val="000000"/>
                <w:sz w:val="20"/>
                <w:szCs w:val="20"/>
              </w:rPr>
              <w:t>8</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46696F" w14:textId="77777777" w:rsidR="00E1024C" w:rsidRPr="00AD686A" w:rsidRDefault="00E1024C" w:rsidP="00AD686A">
            <w:pPr>
              <w:spacing w:after="0" w:line="240" w:lineRule="auto"/>
              <w:jc w:val="right"/>
              <w:rPr>
                <w:rFonts w:ascii="Calibri" w:eastAsia="Times New Roman" w:hAnsi="Calibri" w:cs="Calibri"/>
                <w:color w:val="000000"/>
                <w:sz w:val="20"/>
                <w:szCs w:val="20"/>
              </w:rPr>
            </w:pPr>
            <w:r w:rsidRPr="00AD686A">
              <w:rPr>
                <w:rFonts w:ascii="Calibri" w:eastAsia="Times New Roman" w:hAnsi="Calibri" w:cs="Calibri"/>
                <w:color w:val="000000"/>
                <w:sz w:val="20"/>
                <w:szCs w:val="20"/>
              </w:rPr>
              <w:t>8</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478823" w14:textId="77777777" w:rsidR="00E1024C" w:rsidRPr="00AD686A" w:rsidRDefault="00E1024C" w:rsidP="00AD686A">
            <w:pPr>
              <w:spacing w:after="0" w:line="240" w:lineRule="auto"/>
              <w:jc w:val="right"/>
              <w:rPr>
                <w:rFonts w:ascii="Calibri" w:eastAsia="Times New Roman" w:hAnsi="Calibri" w:cs="Calibri"/>
                <w:color w:val="000000"/>
                <w:sz w:val="20"/>
                <w:szCs w:val="20"/>
              </w:rPr>
            </w:pPr>
            <w:r w:rsidRPr="00AD686A">
              <w:rPr>
                <w:rFonts w:ascii="Calibri" w:eastAsia="Times New Roman" w:hAnsi="Calibri" w:cs="Calibri"/>
                <w:color w:val="000000"/>
                <w:sz w:val="20"/>
                <w:szCs w:val="20"/>
              </w:rPr>
              <w:t>6</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3E8520" w14:textId="77777777" w:rsidR="00E1024C" w:rsidRPr="00AD686A" w:rsidRDefault="00E1024C" w:rsidP="00AD686A">
            <w:pPr>
              <w:spacing w:after="0" w:line="240" w:lineRule="auto"/>
              <w:jc w:val="right"/>
              <w:rPr>
                <w:rFonts w:ascii="Calibri" w:eastAsia="Times New Roman" w:hAnsi="Calibri" w:cs="Calibri"/>
                <w:color w:val="000000"/>
                <w:sz w:val="20"/>
                <w:szCs w:val="20"/>
              </w:rPr>
            </w:pPr>
            <w:r w:rsidRPr="00AD686A">
              <w:rPr>
                <w:rFonts w:ascii="Calibri" w:eastAsia="Times New Roman" w:hAnsi="Calibri" w:cs="Calibri"/>
                <w:color w:val="000000"/>
                <w:sz w:val="20"/>
                <w:szCs w:val="20"/>
              </w:rPr>
              <w:t>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85F15F" w14:textId="77777777" w:rsidR="00E1024C" w:rsidRPr="00AD686A" w:rsidRDefault="00E1024C" w:rsidP="00AD686A">
            <w:pPr>
              <w:spacing w:after="0" w:line="240" w:lineRule="auto"/>
              <w:jc w:val="right"/>
              <w:rPr>
                <w:rFonts w:ascii="Calibri" w:eastAsia="Times New Roman" w:hAnsi="Calibri" w:cs="Calibri"/>
                <w:color w:val="000000"/>
                <w:sz w:val="20"/>
                <w:szCs w:val="20"/>
              </w:rPr>
            </w:pPr>
            <w:r w:rsidRPr="00AD686A">
              <w:rPr>
                <w:rFonts w:ascii="Calibri" w:eastAsia="Times New Roman" w:hAnsi="Calibri" w:cs="Calibri"/>
                <w:color w:val="000000"/>
                <w:sz w:val="20"/>
                <w:szCs w:val="20"/>
              </w:rPr>
              <w:t>3</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898DB2" w14:textId="77777777" w:rsidR="00E1024C" w:rsidRPr="00AD686A" w:rsidRDefault="00E1024C" w:rsidP="00AD686A">
            <w:pPr>
              <w:spacing w:after="0" w:line="240" w:lineRule="auto"/>
              <w:jc w:val="right"/>
              <w:rPr>
                <w:rFonts w:ascii="Calibri" w:eastAsia="Times New Roman" w:hAnsi="Calibri" w:cs="Calibri"/>
                <w:color w:val="000000"/>
                <w:sz w:val="20"/>
                <w:szCs w:val="20"/>
              </w:rPr>
            </w:pPr>
            <w:r w:rsidRPr="00AD686A">
              <w:rPr>
                <w:rFonts w:ascii="Calibri" w:eastAsia="Times New Roman" w:hAnsi="Calibri" w:cs="Calibri"/>
                <w:color w:val="000000"/>
                <w:sz w:val="20"/>
                <w:szCs w:val="20"/>
              </w:rPr>
              <w:t>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0DCABE" w14:textId="77777777" w:rsidR="00E1024C" w:rsidRPr="00AD686A" w:rsidRDefault="00E1024C" w:rsidP="00AD686A">
            <w:pPr>
              <w:spacing w:after="0" w:line="240" w:lineRule="auto"/>
              <w:jc w:val="right"/>
              <w:rPr>
                <w:rFonts w:ascii="Calibri" w:eastAsia="Times New Roman" w:hAnsi="Calibri" w:cs="Calibri"/>
                <w:color w:val="000000"/>
                <w:sz w:val="20"/>
                <w:szCs w:val="20"/>
              </w:rPr>
            </w:pPr>
            <w:r w:rsidRPr="00AD686A">
              <w:rPr>
                <w:rFonts w:ascii="Calibri" w:eastAsia="Times New Roman" w:hAnsi="Calibri" w:cs="Calibri"/>
                <w:color w:val="000000"/>
                <w:sz w:val="20"/>
                <w:szCs w:val="20"/>
              </w:rPr>
              <w:t>5</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27B623" w14:textId="77777777" w:rsidR="00E1024C" w:rsidRPr="00AD686A" w:rsidRDefault="00E1024C" w:rsidP="00AD686A">
            <w:pPr>
              <w:spacing w:after="0" w:line="240" w:lineRule="auto"/>
              <w:jc w:val="right"/>
              <w:rPr>
                <w:rFonts w:ascii="Calibri" w:eastAsia="Times New Roman" w:hAnsi="Calibri" w:cs="Calibri"/>
                <w:color w:val="000000"/>
                <w:sz w:val="20"/>
                <w:szCs w:val="20"/>
              </w:rPr>
            </w:pPr>
            <w:r w:rsidRPr="00AD686A">
              <w:rPr>
                <w:rFonts w:ascii="Calibri" w:eastAsia="Times New Roman" w:hAnsi="Calibri" w:cs="Calibri"/>
                <w:color w:val="000000"/>
                <w:sz w:val="20"/>
                <w:szCs w:val="20"/>
              </w:rPr>
              <w:t>8</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8331C1" w14:textId="77777777" w:rsidR="00E1024C" w:rsidRPr="00AD686A" w:rsidRDefault="00E1024C" w:rsidP="00AD686A">
            <w:pPr>
              <w:spacing w:after="0" w:line="240" w:lineRule="auto"/>
              <w:jc w:val="right"/>
              <w:rPr>
                <w:rFonts w:ascii="Calibri" w:eastAsia="Times New Roman" w:hAnsi="Calibri" w:cs="Calibri"/>
                <w:color w:val="000000"/>
                <w:sz w:val="20"/>
                <w:szCs w:val="20"/>
              </w:rPr>
            </w:pPr>
            <w:r w:rsidRPr="00AD686A">
              <w:rPr>
                <w:rFonts w:ascii="Calibri" w:eastAsia="Times New Roman" w:hAnsi="Calibri" w:cs="Calibri"/>
                <w:color w:val="000000"/>
                <w:sz w:val="20"/>
                <w:szCs w:val="20"/>
              </w:rPr>
              <w:t>5</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18BF8A" w14:textId="77777777" w:rsidR="00E1024C" w:rsidRPr="00AD686A" w:rsidRDefault="00E1024C" w:rsidP="00AD686A">
            <w:pPr>
              <w:spacing w:after="0" w:line="240" w:lineRule="auto"/>
              <w:jc w:val="right"/>
              <w:rPr>
                <w:rFonts w:ascii="Calibri" w:eastAsia="Times New Roman" w:hAnsi="Calibri" w:cs="Calibri"/>
                <w:color w:val="000000"/>
                <w:sz w:val="20"/>
                <w:szCs w:val="20"/>
              </w:rPr>
            </w:pPr>
            <w:r w:rsidRPr="00AD686A">
              <w:rPr>
                <w:rFonts w:ascii="Calibri" w:eastAsia="Times New Roman" w:hAnsi="Calibri" w:cs="Calibri"/>
                <w:color w:val="000000"/>
                <w:sz w:val="20"/>
                <w:szCs w:val="20"/>
              </w:rPr>
              <w:t>9</w:t>
            </w:r>
          </w:p>
        </w:tc>
      </w:tr>
      <w:tr w:rsidR="009554AE" w:rsidRPr="00AD686A" w14:paraId="581E1D50" w14:textId="77777777" w:rsidTr="009554AE">
        <w:trPr>
          <w:trHeight w:val="300"/>
        </w:trPr>
        <w:tc>
          <w:tcPr>
            <w:tcW w:w="11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57EF24" w14:textId="77777777" w:rsidR="00E1024C" w:rsidRPr="00AD686A" w:rsidRDefault="00E1024C" w:rsidP="00AD686A">
            <w:pPr>
              <w:spacing w:after="0" w:line="240" w:lineRule="auto"/>
              <w:rPr>
                <w:rFonts w:ascii="Calibri" w:eastAsia="Times New Roman" w:hAnsi="Calibri" w:cs="Calibri"/>
                <w:b/>
                <w:bCs/>
                <w:color w:val="000000"/>
                <w:sz w:val="20"/>
                <w:szCs w:val="20"/>
              </w:rPr>
            </w:pPr>
            <w:r w:rsidRPr="00AD686A">
              <w:rPr>
                <w:rFonts w:ascii="Calibri" w:eastAsia="Times New Roman" w:hAnsi="Calibri" w:cs="Calibri"/>
                <w:b/>
                <w:bCs/>
                <w:color w:val="000000"/>
                <w:sz w:val="20"/>
                <w:szCs w:val="20"/>
              </w:rPr>
              <w:t>Heat</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776499" w14:textId="77777777" w:rsidR="00E1024C" w:rsidRPr="00AD686A" w:rsidRDefault="00E1024C" w:rsidP="00AD686A">
            <w:pPr>
              <w:spacing w:after="0" w:line="240" w:lineRule="auto"/>
              <w:jc w:val="right"/>
              <w:rPr>
                <w:rFonts w:ascii="Calibri" w:eastAsia="Times New Roman" w:hAnsi="Calibri" w:cs="Calibri"/>
                <w:b/>
                <w:bCs/>
                <w:color w:val="000000"/>
                <w:sz w:val="20"/>
                <w:szCs w:val="20"/>
              </w:rPr>
            </w:pPr>
            <w:r w:rsidRPr="00AD686A">
              <w:rPr>
                <w:rFonts w:ascii="Calibri" w:eastAsia="Times New Roman" w:hAnsi="Calibri" w:cs="Calibri"/>
                <w:b/>
                <w:bCs/>
                <w:color w:val="000000"/>
                <w:sz w:val="20"/>
                <w:szCs w:val="20"/>
              </w:rPr>
              <w:t>8.0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5B34BF" w14:textId="77777777" w:rsidR="00E1024C" w:rsidRPr="00AD686A" w:rsidRDefault="00E1024C" w:rsidP="00AD686A">
            <w:pPr>
              <w:spacing w:after="0" w:line="240" w:lineRule="auto"/>
              <w:jc w:val="right"/>
              <w:rPr>
                <w:rFonts w:ascii="Calibri" w:eastAsia="Times New Roman" w:hAnsi="Calibri" w:cs="Calibri"/>
                <w:b/>
                <w:bCs/>
                <w:color w:val="000000"/>
                <w:sz w:val="20"/>
                <w:szCs w:val="20"/>
              </w:rPr>
            </w:pPr>
            <w:r w:rsidRPr="00AD686A">
              <w:rPr>
                <w:rFonts w:ascii="Calibri" w:eastAsia="Times New Roman" w:hAnsi="Calibri" w:cs="Calibri"/>
                <w:b/>
                <w:bCs/>
                <w:color w:val="000000"/>
                <w:sz w:val="20"/>
                <w:szCs w:val="20"/>
              </w:rPr>
              <w:t>3.1</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036432" w14:textId="77777777" w:rsidR="00E1024C" w:rsidRPr="00AD686A" w:rsidRDefault="00E1024C" w:rsidP="00AD686A">
            <w:pPr>
              <w:spacing w:after="0" w:line="240" w:lineRule="auto"/>
              <w:jc w:val="right"/>
              <w:rPr>
                <w:rFonts w:ascii="Calibri" w:eastAsia="Times New Roman" w:hAnsi="Calibri" w:cs="Calibri"/>
                <w:color w:val="000000"/>
                <w:sz w:val="20"/>
                <w:szCs w:val="20"/>
              </w:rPr>
            </w:pPr>
            <w:r w:rsidRPr="00AD686A">
              <w:rPr>
                <w:rFonts w:ascii="Calibri" w:eastAsia="Times New Roman" w:hAnsi="Calibri" w:cs="Calibri"/>
                <w:color w:val="000000"/>
                <w:sz w:val="20"/>
                <w:szCs w:val="20"/>
              </w:rPr>
              <w:t>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279FB7" w14:textId="77777777" w:rsidR="00E1024C" w:rsidRPr="00AD686A" w:rsidRDefault="00E1024C" w:rsidP="00AD686A">
            <w:pPr>
              <w:spacing w:after="0" w:line="240" w:lineRule="auto"/>
              <w:jc w:val="right"/>
              <w:rPr>
                <w:rFonts w:ascii="Calibri" w:eastAsia="Times New Roman" w:hAnsi="Calibri" w:cs="Calibri"/>
                <w:color w:val="000000"/>
                <w:sz w:val="20"/>
                <w:szCs w:val="20"/>
              </w:rPr>
            </w:pPr>
            <w:r w:rsidRPr="00AD686A">
              <w:rPr>
                <w:rFonts w:ascii="Calibri" w:eastAsia="Times New Roman" w:hAnsi="Calibri" w:cs="Calibri"/>
                <w:color w:val="000000"/>
                <w:sz w:val="20"/>
                <w:szCs w:val="20"/>
              </w:rPr>
              <w:t>9</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27093E" w14:textId="77777777" w:rsidR="00E1024C" w:rsidRPr="00AD686A" w:rsidRDefault="00E1024C" w:rsidP="00AD686A">
            <w:pPr>
              <w:spacing w:after="0" w:line="240" w:lineRule="auto"/>
              <w:jc w:val="right"/>
              <w:rPr>
                <w:rFonts w:ascii="Calibri" w:eastAsia="Times New Roman" w:hAnsi="Calibri" w:cs="Calibri"/>
                <w:color w:val="000000"/>
                <w:sz w:val="20"/>
                <w:szCs w:val="20"/>
              </w:rPr>
            </w:pPr>
            <w:r w:rsidRPr="00AD686A">
              <w:rPr>
                <w:rFonts w:ascii="Calibri" w:eastAsia="Times New Roman" w:hAnsi="Calibri" w:cs="Calibri"/>
                <w:color w:val="000000"/>
                <w:sz w:val="20"/>
                <w:szCs w:val="20"/>
              </w:rPr>
              <w:t>9</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9A8098" w14:textId="77777777" w:rsidR="00E1024C" w:rsidRPr="00AD686A" w:rsidRDefault="00E1024C" w:rsidP="00AD686A">
            <w:pPr>
              <w:spacing w:after="0" w:line="240" w:lineRule="auto"/>
              <w:jc w:val="right"/>
              <w:rPr>
                <w:rFonts w:ascii="Calibri" w:eastAsia="Times New Roman" w:hAnsi="Calibri" w:cs="Calibri"/>
                <w:color w:val="000000"/>
                <w:sz w:val="20"/>
                <w:szCs w:val="20"/>
              </w:rPr>
            </w:pPr>
            <w:r w:rsidRPr="00AD686A">
              <w:rPr>
                <w:rFonts w:ascii="Calibri" w:eastAsia="Times New Roman" w:hAnsi="Calibri" w:cs="Calibri"/>
                <w:color w:val="000000"/>
                <w:sz w:val="20"/>
                <w:szCs w:val="20"/>
              </w:rPr>
              <w:t>9</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43FE70" w14:textId="77777777" w:rsidR="00E1024C" w:rsidRPr="00AD686A" w:rsidRDefault="00E1024C" w:rsidP="00AD686A">
            <w:pPr>
              <w:spacing w:after="0" w:line="240" w:lineRule="auto"/>
              <w:jc w:val="right"/>
              <w:rPr>
                <w:rFonts w:ascii="Calibri" w:eastAsia="Times New Roman" w:hAnsi="Calibri" w:cs="Calibri"/>
                <w:color w:val="000000"/>
                <w:sz w:val="20"/>
                <w:szCs w:val="20"/>
              </w:rPr>
            </w:pPr>
            <w:r w:rsidRPr="00AD686A">
              <w:rPr>
                <w:rFonts w:ascii="Calibri" w:eastAsia="Times New Roman" w:hAnsi="Calibri" w:cs="Calibri"/>
                <w:color w:val="000000"/>
                <w:sz w:val="20"/>
                <w:szCs w:val="20"/>
              </w:rPr>
              <w:t>6</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8509DE" w14:textId="77777777" w:rsidR="00E1024C" w:rsidRPr="00AD686A" w:rsidRDefault="00E1024C" w:rsidP="00AD686A">
            <w:pPr>
              <w:spacing w:after="0" w:line="240" w:lineRule="auto"/>
              <w:jc w:val="right"/>
              <w:rPr>
                <w:rFonts w:ascii="Calibri" w:eastAsia="Times New Roman" w:hAnsi="Calibri" w:cs="Calibri"/>
                <w:color w:val="000000"/>
                <w:sz w:val="20"/>
                <w:szCs w:val="20"/>
              </w:rPr>
            </w:pPr>
            <w:r w:rsidRPr="00AD686A">
              <w:rPr>
                <w:rFonts w:ascii="Calibri" w:eastAsia="Times New Roman" w:hAnsi="Calibri" w:cs="Calibri"/>
                <w:color w:val="000000"/>
                <w:sz w:val="20"/>
                <w:szCs w:val="20"/>
              </w:rPr>
              <w:t>12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D87B2A" w14:textId="77777777" w:rsidR="00E1024C" w:rsidRPr="00AD686A" w:rsidRDefault="00E1024C" w:rsidP="00AD686A">
            <w:pPr>
              <w:spacing w:after="0" w:line="240" w:lineRule="auto"/>
              <w:jc w:val="right"/>
              <w:rPr>
                <w:rFonts w:ascii="Calibri" w:eastAsia="Times New Roman" w:hAnsi="Calibri" w:cs="Calibri"/>
                <w:color w:val="000000"/>
                <w:sz w:val="20"/>
                <w:szCs w:val="20"/>
              </w:rPr>
            </w:pPr>
            <w:r w:rsidRPr="00AD686A">
              <w:rPr>
                <w:rFonts w:ascii="Calibri" w:eastAsia="Times New Roman" w:hAnsi="Calibri" w:cs="Calibri"/>
                <w:color w:val="000000"/>
                <w:sz w:val="20"/>
                <w:szCs w:val="20"/>
              </w:rPr>
              <w:t>7</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F9DB49" w14:textId="77777777" w:rsidR="00E1024C" w:rsidRPr="00AD686A" w:rsidRDefault="00E1024C" w:rsidP="00AD686A">
            <w:pPr>
              <w:spacing w:after="0" w:line="240" w:lineRule="auto"/>
              <w:jc w:val="right"/>
              <w:rPr>
                <w:rFonts w:ascii="Calibri" w:eastAsia="Times New Roman" w:hAnsi="Calibri" w:cs="Calibri"/>
                <w:color w:val="000000"/>
                <w:sz w:val="20"/>
                <w:szCs w:val="20"/>
              </w:rPr>
            </w:pPr>
            <w:r w:rsidRPr="00AD686A">
              <w:rPr>
                <w:rFonts w:ascii="Calibri" w:eastAsia="Times New Roman" w:hAnsi="Calibri" w:cs="Calibri"/>
                <w:color w:val="000000"/>
                <w:sz w:val="20"/>
                <w:szCs w:val="20"/>
              </w:rPr>
              <w:t>8</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5E8857" w14:textId="77777777" w:rsidR="00E1024C" w:rsidRPr="00AD686A" w:rsidRDefault="00E1024C" w:rsidP="00AD686A">
            <w:pPr>
              <w:spacing w:after="0" w:line="240" w:lineRule="auto"/>
              <w:jc w:val="right"/>
              <w:rPr>
                <w:rFonts w:ascii="Calibri" w:eastAsia="Times New Roman" w:hAnsi="Calibri" w:cs="Calibri"/>
                <w:color w:val="000000"/>
                <w:sz w:val="20"/>
                <w:szCs w:val="20"/>
              </w:rPr>
            </w:pPr>
            <w:r w:rsidRPr="00AD686A">
              <w:rPr>
                <w:rFonts w:ascii="Calibri" w:eastAsia="Times New Roman" w:hAnsi="Calibri" w:cs="Calibri"/>
                <w:color w:val="000000"/>
                <w:sz w:val="20"/>
                <w:szCs w:val="20"/>
              </w:rPr>
              <w:t>9</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A13F29" w14:textId="77777777" w:rsidR="00E1024C" w:rsidRPr="00AD686A" w:rsidRDefault="00E1024C" w:rsidP="00AD686A">
            <w:pPr>
              <w:spacing w:after="0" w:line="240" w:lineRule="auto"/>
              <w:jc w:val="right"/>
              <w:rPr>
                <w:rFonts w:ascii="Calibri" w:eastAsia="Times New Roman" w:hAnsi="Calibri" w:cs="Calibri"/>
                <w:color w:val="000000"/>
                <w:sz w:val="20"/>
                <w:szCs w:val="20"/>
              </w:rPr>
            </w:pPr>
            <w:r w:rsidRPr="00AD686A">
              <w:rPr>
                <w:rFonts w:ascii="Calibri" w:eastAsia="Times New Roman" w:hAnsi="Calibri" w:cs="Calibri"/>
                <w:color w:val="000000"/>
                <w:sz w:val="20"/>
                <w:szCs w:val="20"/>
              </w:rPr>
              <w:t>6</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00BB4C" w14:textId="77777777" w:rsidR="00E1024C" w:rsidRPr="00AD686A" w:rsidRDefault="00E1024C" w:rsidP="00AD686A">
            <w:pPr>
              <w:spacing w:after="0" w:line="240" w:lineRule="auto"/>
              <w:jc w:val="right"/>
              <w:rPr>
                <w:rFonts w:ascii="Calibri" w:eastAsia="Times New Roman" w:hAnsi="Calibri" w:cs="Calibri"/>
                <w:color w:val="000000"/>
                <w:sz w:val="20"/>
                <w:szCs w:val="20"/>
              </w:rPr>
            </w:pPr>
            <w:r w:rsidRPr="00AD686A">
              <w:rPr>
                <w:rFonts w:ascii="Calibri" w:eastAsia="Times New Roman" w:hAnsi="Calibri" w:cs="Calibri"/>
                <w:color w:val="000000"/>
                <w:sz w:val="20"/>
                <w:szCs w:val="20"/>
              </w:rPr>
              <w:t>8</w:t>
            </w:r>
          </w:p>
        </w:tc>
      </w:tr>
      <w:tr w:rsidR="009554AE" w:rsidRPr="00AD686A" w14:paraId="3E0A399D" w14:textId="77777777" w:rsidTr="009554AE">
        <w:trPr>
          <w:trHeight w:val="300"/>
        </w:trPr>
        <w:tc>
          <w:tcPr>
            <w:tcW w:w="11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576393" w14:textId="77777777" w:rsidR="00E1024C" w:rsidRPr="00AD686A" w:rsidRDefault="00E1024C" w:rsidP="00AD686A">
            <w:pPr>
              <w:spacing w:after="0" w:line="240" w:lineRule="auto"/>
              <w:rPr>
                <w:rFonts w:ascii="Calibri" w:eastAsia="Times New Roman" w:hAnsi="Calibri" w:cs="Calibri"/>
                <w:b/>
                <w:bCs/>
                <w:color w:val="000000"/>
                <w:sz w:val="20"/>
                <w:szCs w:val="20"/>
              </w:rPr>
            </w:pPr>
            <w:r w:rsidRPr="00AD686A">
              <w:rPr>
                <w:rFonts w:ascii="Calibri" w:eastAsia="Times New Roman" w:hAnsi="Calibri" w:cs="Calibri"/>
                <w:b/>
                <w:bCs/>
                <w:color w:val="000000"/>
                <w:sz w:val="20"/>
                <w:szCs w:val="20"/>
              </w:rPr>
              <w:t>Drought</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0FA8E4" w14:textId="77777777" w:rsidR="00E1024C" w:rsidRPr="00AD686A" w:rsidRDefault="00E1024C" w:rsidP="00AD686A">
            <w:pPr>
              <w:spacing w:after="0" w:line="240" w:lineRule="auto"/>
              <w:jc w:val="right"/>
              <w:rPr>
                <w:rFonts w:ascii="Calibri" w:eastAsia="Times New Roman" w:hAnsi="Calibri" w:cs="Calibri"/>
                <w:b/>
                <w:bCs/>
                <w:color w:val="000000"/>
                <w:sz w:val="20"/>
                <w:szCs w:val="20"/>
              </w:rPr>
            </w:pPr>
            <w:r w:rsidRPr="00AD686A">
              <w:rPr>
                <w:rFonts w:ascii="Calibri" w:eastAsia="Times New Roman" w:hAnsi="Calibri" w:cs="Calibri"/>
                <w:b/>
                <w:bCs/>
                <w:color w:val="000000"/>
                <w:sz w:val="20"/>
                <w:szCs w:val="20"/>
              </w:rPr>
              <w:t>8.3</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CEED0D" w14:textId="77777777" w:rsidR="00E1024C" w:rsidRPr="00AD686A" w:rsidRDefault="00E1024C" w:rsidP="00AD686A">
            <w:pPr>
              <w:spacing w:after="0" w:line="240" w:lineRule="auto"/>
              <w:jc w:val="right"/>
              <w:rPr>
                <w:rFonts w:ascii="Calibri" w:eastAsia="Times New Roman" w:hAnsi="Calibri" w:cs="Calibri"/>
                <w:b/>
                <w:bCs/>
                <w:color w:val="000000"/>
                <w:sz w:val="20"/>
                <w:szCs w:val="20"/>
              </w:rPr>
            </w:pPr>
            <w:r w:rsidRPr="00AD686A">
              <w:rPr>
                <w:rFonts w:ascii="Calibri" w:eastAsia="Times New Roman" w:hAnsi="Calibri" w:cs="Calibri"/>
                <w:b/>
                <w:bCs/>
                <w:color w:val="000000"/>
                <w:sz w:val="20"/>
                <w:szCs w:val="20"/>
              </w:rPr>
              <w:t>1.0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68C45E" w14:textId="77777777" w:rsidR="00E1024C" w:rsidRPr="00AD686A" w:rsidRDefault="00E1024C" w:rsidP="00AD686A">
            <w:pPr>
              <w:spacing w:after="0" w:line="240" w:lineRule="auto"/>
              <w:jc w:val="right"/>
              <w:rPr>
                <w:rFonts w:ascii="Calibri" w:eastAsia="Times New Roman" w:hAnsi="Calibri" w:cs="Calibri"/>
                <w:color w:val="000000"/>
                <w:sz w:val="20"/>
                <w:szCs w:val="20"/>
              </w:rPr>
            </w:pPr>
            <w:r w:rsidRPr="00AD686A">
              <w:rPr>
                <w:rFonts w:ascii="Calibri" w:eastAsia="Times New Roman" w:hAnsi="Calibri" w:cs="Calibri"/>
                <w:color w:val="000000"/>
                <w:sz w:val="20"/>
                <w:szCs w:val="20"/>
              </w:rPr>
              <w:t>10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423046" w14:textId="77777777" w:rsidR="00E1024C" w:rsidRPr="00AD686A" w:rsidRDefault="00E1024C" w:rsidP="00AD686A">
            <w:pPr>
              <w:spacing w:after="0" w:line="240" w:lineRule="auto"/>
              <w:jc w:val="right"/>
              <w:rPr>
                <w:rFonts w:ascii="Calibri" w:eastAsia="Times New Roman" w:hAnsi="Calibri" w:cs="Calibri"/>
                <w:color w:val="000000"/>
                <w:sz w:val="20"/>
                <w:szCs w:val="20"/>
              </w:rPr>
            </w:pPr>
            <w:r w:rsidRPr="00AD686A">
              <w:rPr>
                <w:rFonts w:ascii="Calibri" w:eastAsia="Times New Roman" w:hAnsi="Calibri" w:cs="Calibri"/>
                <w:color w:val="000000"/>
                <w:sz w:val="20"/>
                <w:szCs w:val="20"/>
              </w:rPr>
              <w:t>10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42DD5F" w14:textId="77777777" w:rsidR="00E1024C" w:rsidRPr="00AD686A" w:rsidRDefault="00E1024C" w:rsidP="00AD686A">
            <w:pPr>
              <w:spacing w:after="0" w:line="240" w:lineRule="auto"/>
              <w:jc w:val="right"/>
              <w:rPr>
                <w:rFonts w:ascii="Calibri" w:eastAsia="Times New Roman" w:hAnsi="Calibri" w:cs="Calibri"/>
                <w:color w:val="000000"/>
                <w:sz w:val="20"/>
                <w:szCs w:val="20"/>
              </w:rPr>
            </w:pPr>
            <w:r w:rsidRPr="00AD686A">
              <w:rPr>
                <w:rFonts w:ascii="Calibri" w:eastAsia="Times New Roman" w:hAnsi="Calibri" w:cs="Calibri"/>
                <w:color w:val="000000"/>
                <w:sz w:val="20"/>
                <w:szCs w:val="20"/>
              </w:rPr>
              <w:t>7</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336D96" w14:textId="77777777" w:rsidR="00E1024C" w:rsidRPr="00AD686A" w:rsidRDefault="00E1024C" w:rsidP="00AD686A">
            <w:pPr>
              <w:spacing w:after="0" w:line="240" w:lineRule="auto"/>
              <w:jc w:val="right"/>
              <w:rPr>
                <w:rFonts w:ascii="Calibri" w:eastAsia="Times New Roman" w:hAnsi="Calibri" w:cs="Calibri"/>
                <w:color w:val="000000"/>
                <w:sz w:val="20"/>
                <w:szCs w:val="20"/>
              </w:rPr>
            </w:pPr>
            <w:r w:rsidRPr="00AD686A">
              <w:rPr>
                <w:rFonts w:ascii="Calibri" w:eastAsia="Times New Roman" w:hAnsi="Calibri" w:cs="Calibri"/>
                <w:color w:val="000000"/>
                <w:sz w:val="20"/>
                <w:szCs w:val="20"/>
              </w:rPr>
              <w:t>10</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FFF8CC" w14:textId="77777777" w:rsidR="00E1024C" w:rsidRPr="00AD686A" w:rsidRDefault="00E1024C" w:rsidP="00AD686A">
            <w:pPr>
              <w:spacing w:after="0" w:line="240" w:lineRule="auto"/>
              <w:jc w:val="right"/>
              <w:rPr>
                <w:rFonts w:ascii="Calibri" w:eastAsia="Times New Roman" w:hAnsi="Calibri" w:cs="Calibri"/>
                <w:color w:val="000000"/>
                <w:sz w:val="20"/>
                <w:szCs w:val="20"/>
              </w:rPr>
            </w:pPr>
            <w:r w:rsidRPr="00AD686A">
              <w:rPr>
                <w:rFonts w:ascii="Calibri" w:eastAsia="Times New Roman" w:hAnsi="Calibri" w:cs="Calibri"/>
                <w:color w:val="000000"/>
                <w:sz w:val="20"/>
                <w:szCs w:val="20"/>
              </w:rPr>
              <w:t>7</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F873C3" w14:textId="77777777" w:rsidR="00E1024C" w:rsidRPr="00AD686A" w:rsidRDefault="00E1024C" w:rsidP="00AD686A">
            <w:pPr>
              <w:spacing w:after="0" w:line="240" w:lineRule="auto"/>
              <w:jc w:val="right"/>
              <w:rPr>
                <w:rFonts w:ascii="Calibri" w:eastAsia="Times New Roman" w:hAnsi="Calibri" w:cs="Calibri"/>
                <w:color w:val="000000"/>
                <w:sz w:val="20"/>
                <w:szCs w:val="20"/>
              </w:rPr>
            </w:pPr>
            <w:r w:rsidRPr="00AD686A">
              <w:rPr>
                <w:rFonts w:ascii="Calibri" w:eastAsia="Times New Roman" w:hAnsi="Calibri" w:cs="Calibri"/>
                <w:color w:val="000000"/>
                <w:sz w:val="20"/>
                <w:szCs w:val="20"/>
              </w:rPr>
              <w:t>8</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7DEEE3" w14:textId="77777777" w:rsidR="00E1024C" w:rsidRPr="00AD686A" w:rsidRDefault="00E1024C" w:rsidP="00AD686A">
            <w:pPr>
              <w:spacing w:after="0" w:line="240" w:lineRule="auto"/>
              <w:jc w:val="right"/>
              <w:rPr>
                <w:rFonts w:ascii="Calibri" w:eastAsia="Times New Roman" w:hAnsi="Calibri" w:cs="Calibri"/>
                <w:color w:val="000000"/>
                <w:sz w:val="20"/>
                <w:szCs w:val="20"/>
              </w:rPr>
            </w:pPr>
            <w:r w:rsidRPr="00AD686A">
              <w:rPr>
                <w:rFonts w:ascii="Calibri" w:eastAsia="Times New Roman" w:hAnsi="Calibri" w:cs="Calibri"/>
                <w:color w:val="000000"/>
                <w:sz w:val="20"/>
                <w:szCs w:val="20"/>
              </w:rPr>
              <w:t>8</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423549" w14:textId="77777777" w:rsidR="00E1024C" w:rsidRPr="00AD686A" w:rsidRDefault="00E1024C" w:rsidP="00AD686A">
            <w:pPr>
              <w:spacing w:after="0" w:line="240" w:lineRule="auto"/>
              <w:jc w:val="right"/>
              <w:rPr>
                <w:rFonts w:ascii="Calibri" w:eastAsia="Times New Roman" w:hAnsi="Calibri" w:cs="Calibri"/>
                <w:color w:val="000000"/>
                <w:sz w:val="20"/>
                <w:szCs w:val="20"/>
              </w:rPr>
            </w:pPr>
            <w:r w:rsidRPr="00AD686A">
              <w:rPr>
                <w:rFonts w:ascii="Calibri" w:eastAsia="Times New Roman" w:hAnsi="Calibri" w:cs="Calibri"/>
                <w:color w:val="000000"/>
                <w:sz w:val="20"/>
                <w:szCs w:val="20"/>
              </w:rPr>
              <w:t>9</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02FB8C" w14:textId="77777777" w:rsidR="00E1024C" w:rsidRPr="00AD686A" w:rsidRDefault="00E1024C" w:rsidP="00AD686A">
            <w:pPr>
              <w:spacing w:after="0" w:line="240" w:lineRule="auto"/>
              <w:jc w:val="right"/>
              <w:rPr>
                <w:rFonts w:ascii="Calibri" w:eastAsia="Times New Roman" w:hAnsi="Calibri" w:cs="Calibri"/>
                <w:color w:val="000000"/>
                <w:sz w:val="20"/>
                <w:szCs w:val="20"/>
              </w:rPr>
            </w:pPr>
            <w:r w:rsidRPr="00AD686A">
              <w:rPr>
                <w:rFonts w:ascii="Calibri" w:eastAsia="Times New Roman" w:hAnsi="Calibri" w:cs="Calibri"/>
                <w:color w:val="000000"/>
                <w:sz w:val="20"/>
                <w:szCs w:val="20"/>
              </w:rPr>
              <w:t>7</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791562" w14:textId="77777777" w:rsidR="00E1024C" w:rsidRPr="00AD686A" w:rsidRDefault="00E1024C" w:rsidP="00AD686A">
            <w:pPr>
              <w:spacing w:after="0" w:line="240" w:lineRule="auto"/>
              <w:jc w:val="right"/>
              <w:rPr>
                <w:rFonts w:ascii="Calibri" w:eastAsia="Times New Roman" w:hAnsi="Calibri" w:cs="Calibri"/>
                <w:color w:val="000000"/>
                <w:sz w:val="20"/>
                <w:szCs w:val="20"/>
              </w:rPr>
            </w:pPr>
            <w:r w:rsidRPr="00AD686A">
              <w:rPr>
                <w:rFonts w:ascii="Calibri" w:eastAsia="Times New Roman" w:hAnsi="Calibri" w:cs="Calibri"/>
                <w:color w:val="000000"/>
                <w:sz w:val="20"/>
                <w:szCs w:val="20"/>
              </w:rPr>
              <w:t>8</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361D2E" w14:textId="77777777" w:rsidR="00E1024C" w:rsidRPr="00AD686A" w:rsidRDefault="00E1024C" w:rsidP="00AD686A">
            <w:pPr>
              <w:spacing w:after="0" w:line="240" w:lineRule="auto"/>
              <w:jc w:val="right"/>
              <w:rPr>
                <w:rFonts w:ascii="Calibri" w:eastAsia="Times New Roman" w:hAnsi="Calibri" w:cs="Calibri"/>
                <w:color w:val="000000"/>
                <w:sz w:val="20"/>
                <w:szCs w:val="20"/>
              </w:rPr>
            </w:pPr>
            <w:r w:rsidRPr="00AD686A">
              <w:rPr>
                <w:rFonts w:ascii="Calibri" w:eastAsia="Times New Roman" w:hAnsi="Calibri" w:cs="Calibri"/>
                <w:color w:val="000000"/>
                <w:sz w:val="20"/>
                <w:szCs w:val="20"/>
              </w:rPr>
              <w:t>7</w:t>
            </w:r>
          </w:p>
        </w:tc>
      </w:tr>
      <w:tr w:rsidR="009554AE" w:rsidRPr="00AD686A" w14:paraId="1BD3D581" w14:textId="77777777" w:rsidTr="009554AE">
        <w:trPr>
          <w:trHeight w:val="564"/>
        </w:trPr>
        <w:tc>
          <w:tcPr>
            <w:tcW w:w="11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5115F3" w14:textId="77777777" w:rsidR="00E1024C" w:rsidRPr="00AD686A" w:rsidRDefault="00E1024C" w:rsidP="00AD686A">
            <w:pPr>
              <w:spacing w:after="0" w:line="240" w:lineRule="auto"/>
              <w:rPr>
                <w:rFonts w:ascii="Calibri" w:eastAsia="Times New Roman" w:hAnsi="Calibri" w:cs="Calibri"/>
                <w:b/>
                <w:bCs/>
                <w:color w:val="000000"/>
                <w:sz w:val="20"/>
                <w:szCs w:val="20"/>
              </w:rPr>
            </w:pPr>
            <w:r w:rsidRPr="00AD686A">
              <w:rPr>
                <w:rFonts w:ascii="Calibri" w:eastAsia="Times New Roman" w:hAnsi="Calibri" w:cs="Calibri"/>
                <w:b/>
                <w:bCs/>
                <w:color w:val="000000"/>
                <w:sz w:val="20"/>
                <w:szCs w:val="20"/>
              </w:rPr>
              <w:t>Infectious Disease</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0B83A4" w14:textId="77777777" w:rsidR="00E1024C" w:rsidRPr="00AD686A" w:rsidRDefault="00E1024C" w:rsidP="00AD686A">
            <w:pPr>
              <w:spacing w:after="0" w:line="240" w:lineRule="auto"/>
              <w:jc w:val="right"/>
              <w:rPr>
                <w:rFonts w:ascii="Calibri" w:eastAsia="Times New Roman" w:hAnsi="Calibri" w:cs="Calibri"/>
                <w:b/>
                <w:bCs/>
                <w:color w:val="000000"/>
                <w:sz w:val="20"/>
                <w:szCs w:val="20"/>
              </w:rPr>
            </w:pPr>
            <w:r w:rsidRPr="00AD686A">
              <w:rPr>
                <w:rFonts w:ascii="Calibri" w:eastAsia="Times New Roman" w:hAnsi="Calibri" w:cs="Calibri"/>
                <w:b/>
                <w:bCs/>
                <w:color w:val="000000"/>
                <w:sz w:val="20"/>
                <w:szCs w:val="20"/>
              </w:rPr>
              <w:t>8.5</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C5F92E" w14:textId="77777777" w:rsidR="00E1024C" w:rsidRPr="00AD686A" w:rsidRDefault="00E1024C" w:rsidP="00AD686A">
            <w:pPr>
              <w:spacing w:after="0" w:line="240" w:lineRule="auto"/>
              <w:jc w:val="right"/>
              <w:rPr>
                <w:rFonts w:ascii="Calibri" w:eastAsia="Times New Roman" w:hAnsi="Calibri" w:cs="Calibri"/>
                <w:b/>
                <w:bCs/>
                <w:color w:val="000000"/>
                <w:sz w:val="20"/>
                <w:szCs w:val="20"/>
              </w:rPr>
            </w:pPr>
            <w:r w:rsidRPr="00AD686A">
              <w:rPr>
                <w:rFonts w:ascii="Calibri" w:eastAsia="Times New Roman" w:hAnsi="Calibri" w:cs="Calibri"/>
                <w:b/>
                <w:bCs/>
                <w:color w:val="000000"/>
                <w:sz w:val="20"/>
                <w:szCs w:val="20"/>
              </w:rPr>
              <w:t>1.5</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F521F1" w14:textId="77777777" w:rsidR="00E1024C" w:rsidRPr="00AD686A" w:rsidRDefault="00E1024C" w:rsidP="00AD686A">
            <w:pPr>
              <w:spacing w:after="0" w:line="240" w:lineRule="auto"/>
              <w:jc w:val="right"/>
              <w:rPr>
                <w:rFonts w:ascii="Calibri" w:eastAsia="Times New Roman" w:hAnsi="Calibri" w:cs="Calibri"/>
                <w:color w:val="000000"/>
                <w:sz w:val="20"/>
                <w:szCs w:val="20"/>
              </w:rPr>
            </w:pPr>
            <w:r w:rsidRPr="00AD686A">
              <w:rPr>
                <w:rFonts w:ascii="Calibri" w:eastAsia="Times New Roman" w:hAnsi="Calibri" w:cs="Calibri"/>
                <w:color w:val="000000"/>
                <w:sz w:val="20"/>
                <w:szCs w:val="20"/>
              </w:rPr>
              <w:t>8</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23F84A" w14:textId="77777777" w:rsidR="00E1024C" w:rsidRPr="00AD686A" w:rsidRDefault="00E1024C" w:rsidP="00AD686A">
            <w:pPr>
              <w:spacing w:after="0" w:line="240" w:lineRule="auto"/>
              <w:jc w:val="right"/>
              <w:rPr>
                <w:rFonts w:ascii="Calibri" w:eastAsia="Times New Roman" w:hAnsi="Calibri" w:cs="Calibri"/>
                <w:color w:val="000000"/>
                <w:sz w:val="20"/>
                <w:szCs w:val="20"/>
              </w:rPr>
            </w:pPr>
            <w:r w:rsidRPr="00AD686A">
              <w:rPr>
                <w:rFonts w:ascii="Calibri" w:eastAsia="Times New Roman" w:hAnsi="Calibri" w:cs="Calibri"/>
                <w:color w:val="000000"/>
                <w:sz w:val="20"/>
                <w:szCs w:val="20"/>
              </w:rPr>
              <w:t>6</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F8EB46" w14:textId="77777777" w:rsidR="00E1024C" w:rsidRPr="00AD686A" w:rsidRDefault="00E1024C" w:rsidP="00AD686A">
            <w:pPr>
              <w:spacing w:after="0" w:line="240" w:lineRule="auto"/>
              <w:jc w:val="right"/>
              <w:rPr>
                <w:rFonts w:ascii="Calibri" w:eastAsia="Times New Roman" w:hAnsi="Calibri" w:cs="Calibri"/>
                <w:color w:val="000000"/>
                <w:sz w:val="20"/>
                <w:szCs w:val="20"/>
              </w:rPr>
            </w:pPr>
            <w:r w:rsidRPr="00AD686A">
              <w:rPr>
                <w:rFonts w:ascii="Calibri" w:eastAsia="Times New Roman" w:hAnsi="Calibri" w:cs="Calibri"/>
                <w:color w:val="000000"/>
                <w:sz w:val="20"/>
                <w:szCs w:val="20"/>
              </w:rPr>
              <w:t>3</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66C5B4" w14:textId="77777777" w:rsidR="00E1024C" w:rsidRPr="00AD686A" w:rsidRDefault="00E1024C" w:rsidP="00AD686A">
            <w:pPr>
              <w:spacing w:after="0" w:line="240" w:lineRule="auto"/>
              <w:jc w:val="right"/>
              <w:rPr>
                <w:rFonts w:ascii="Calibri" w:eastAsia="Times New Roman" w:hAnsi="Calibri" w:cs="Calibri"/>
                <w:color w:val="000000"/>
                <w:sz w:val="20"/>
                <w:szCs w:val="20"/>
              </w:rPr>
            </w:pPr>
            <w:r w:rsidRPr="00AD686A">
              <w:rPr>
                <w:rFonts w:ascii="Calibri" w:eastAsia="Times New Roman" w:hAnsi="Calibri" w:cs="Calibri"/>
                <w:color w:val="000000"/>
                <w:sz w:val="20"/>
                <w:szCs w:val="20"/>
              </w:rPr>
              <w:t>5</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BB6C2D" w14:textId="77777777" w:rsidR="00E1024C" w:rsidRPr="00AD686A" w:rsidRDefault="00E1024C" w:rsidP="00AD686A">
            <w:pPr>
              <w:spacing w:after="0" w:line="240" w:lineRule="auto"/>
              <w:jc w:val="right"/>
              <w:rPr>
                <w:rFonts w:ascii="Calibri" w:eastAsia="Times New Roman" w:hAnsi="Calibri" w:cs="Calibri"/>
                <w:color w:val="000000"/>
                <w:sz w:val="20"/>
                <w:szCs w:val="20"/>
              </w:rPr>
            </w:pPr>
            <w:r w:rsidRPr="00AD686A">
              <w:rPr>
                <w:rFonts w:ascii="Calibri" w:eastAsia="Times New Roman" w:hAnsi="Calibri" w:cs="Calibri"/>
                <w:color w:val="000000"/>
                <w:sz w:val="20"/>
                <w:szCs w:val="20"/>
              </w:rPr>
              <w:t>10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31AF65" w14:textId="77777777" w:rsidR="00E1024C" w:rsidRPr="00AD686A" w:rsidRDefault="00E1024C" w:rsidP="00AD686A">
            <w:pPr>
              <w:spacing w:after="0" w:line="240" w:lineRule="auto"/>
              <w:jc w:val="right"/>
              <w:rPr>
                <w:rFonts w:ascii="Calibri" w:eastAsia="Times New Roman" w:hAnsi="Calibri" w:cs="Calibri"/>
                <w:color w:val="000000"/>
                <w:sz w:val="20"/>
                <w:szCs w:val="20"/>
              </w:rPr>
            </w:pPr>
            <w:r w:rsidRPr="00AD686A">
              <w:rPr>
                <w:rFonts w:ascii="Calibri" w:eastAsia="Times New Roman" w:hAnsi="Calibri" w:cs="Calibri"/>
                <w:color w:val="000000"/>
                <w:sz w:val="20"/>
                <w:szCs w:val="20"/>
              </w:rPr>
              <w:t>9</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22A69B" w14:textId="77777777" w:rsidR="00E1024C" w:rsidRPr="00AD686A" w:rsidRDefault="00E1024C" w:rsidP="00AD686A">
            <w:pPr>
              <w:spacing w:after="0" w:line="240" w:lineRule="auto"/>
              <w:jc w:val="right"/>
              <w:rPr>
                <w:rFonts w:ascii="Calibri" w:eastAsia="Times New Roman" w:hAnsi="Calibri" w:cs="Calibri"/>
                <w:color w:val="000000"/>
                <w:sz w:val="20"/>
                <w:szCs w:val="20"/>
              </w:rPr>
            </w:pPr>
            <w:r w:rsidRPr="00AD686A">
              <w:rPr>
                <w:rFonts w:ascii="Calibri" w:eastAsia="Times New Roman" w:hAnsi="Calibri" w:cs="Calibri"/>
                <w:color w:val="000000"/>
                <w:sz w:val="20"/>
                <w:szCs w:val="20"/>
              </w:rPr>
              <w:t>10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5E7E3F" w14:textId="77777777" w:rsidR="00E1024C" w:rsidRPr="00AD686A" w:rsidRDefault="00E1024C" w:rsidP="00AD686A">
            <w:pPr>
              <w:spacing w:after="0" w:line="240" w:lineRule="auto"/>
              <w:jc w:val="right"/>
              <w:rPr>
                <w:rFonts w:ascii="Calibri" w:eastAsia="Times New Roman" w:hAnsi="Calibri" w:cs="Calibri"/>
                <w:color w:val="000000"/>
                <w:sz w:val="20"/>
                <w:szCs w:val="20"/>
              </w:rPr>
            </w:pPr>
            <w:r w:rsidRPr="00AD686A">
              <w:rPr>
                <w:rFonts w:ascii="Calibri" w:eastAsia="Times New Roman" w:hAnsi="Calibri" w:cs="Calibri"/>
                <w:color w:val="000000"/>
                <w:sz w:val="20"/>
                <w:szCs w:val="20"/>
              </w:rPr>
              <w:t>14</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1E0D21" w14:textId="77777777" w:rsidR="00E1024C" w:rsidRPr="00AD686A" w:rsidRDefault="00E1024C" w:rsidP="00AD686A">
            <w:pPr>
              <w:spacing w:after="0" w:line="240" w:lineRule="auto"/>
              <w:jc w:val="right"/>
              <w:rPr>
                <w:rFonts w:ascii="Calibri" w:eastAsia="Times New Roman" w:hAnsi="Calibri" w:cs="Calibri"/>
                <w:color w:val="000000"/>
                <w:sz w:val="20"/>
                <w:szCs w:val="20"/>
              </w:rPr>
            </w:pPr>
            <w:r w:rsidRPr="00AD686A">
              <w:rPr>
                <w:rFonts w:ascii="Calibri" w:eastAsia="Times New Roman" w:hAnsi="Calibri" w:cs="Calibri"/>
                <w:color w:val="000000"/>
                <w:sz w:val="20"/>
                <w:szCs w:val="20"/>
              </w:rPr>
              <w:t>12</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EA8773" w14:textId="77777777" w:rsidR="00E1024C" w:rsidRPr="00AD686A" w:rsidRDefault="00E1024C" w:rsidP="00AD686A">
            <w:pPr>
              <w:spacing w:after="0" w:line="240" w:lineRule="auto"/>
              <w:jc w:val="right"/>
              <w:rPr>
                <w:rFonts w:ascii="Calibri" w:eastAsia="Times New Roman" w:hAnsi="Calibri" w:cs="Calibri"/>
                <w:color w:val="000000"/>
                <w:sz w:val="20"/>
                <w:szCs w:val="20"/>
              </w:rPr>
            </w:pPr>
            <w:r w:rsidRPr="00AD686A">
              <w:rPr>
                <w:rFonts w:ascii="Calibri" w:eastAsia="Times New Roman" w:hAnsi="Calibri" w:cs="Calibri"/>
                <w:color w:val="000000"/>
                <w:sz w:val="20"/>
                <w:szCs w:val="20"/>
              </w:rPr>
              <w:t>7</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5B2629" w14:textId="77777777" w:rsidR="00E1024C" w:rsidRPr="00AD686A" w:rsidRDefault="00E1024C" w:rsidP="00AD686A">
            <w:pPr>
              <w:spacing w:after="0" w:line="240" w:lineRule="auto"/>
              <w:jc w:val="right"/>
              <w:rPr>
                <w:rFonts w:ascii="Calibri" w:eastAsia="Times New Roman" w:hAnsi="Calibri" w:cs="Calibri"/>
                <w:color w:val="000000"/>
                <w:sz w:val="20"/>
                <w:szCs w:val="20"/>
              </w:rPr>
            </w:pPr>
            <w:r w:rsidRPr="00AD686A">
              <w:rPr>
                <w:rFonts w:ascii="Calibri" w:eastAsia="Times New Roman" w:hAnsi="Calibri" w:cs="Calibri"/>
                <w:color w:val="000000"/>
                <w:sz w:val="20"/>
                <w:szCs w:val="20"/>
              </w:rPr>
              <w:t>10</w:t>
            </w:r>
          </w:p>
        </w:tc>
      </w:tr>
      <w:tr w:rsidR="009554AE" w:rsidRPr="00AD686A" w14:paraId="0F55AF9A" w14:textId="77777777" w:rsidTr="009554AE">
        <w:trPr>
          <w:trHeight w:val="300"/>
        </w:trPr>
        <w:tc>
          <w:tcPr>
            <w:tcW w:w="11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B26AD7" w14:textId="77777777" w:rsidR="00E1024C" w:rsidRPr="00AD686A" w:rsidRDefault="00E1024C" w:rsidP="00AD686A">
            <w:pPr>
              <w:spacing w:after="0" w:line="240" w:lineRule="auto"/>
              <w:rPr>
                <w:rFonts w:ascii="Calibri" w:eastAsia="Times New Roman" w:hAnsi="Calibri" w:cs="Calibri"/>
                <w:b/>
                <w:bCs/>
                <w:color w:val="000000"/>
                <w:sz w:val="20"/>
                <w:szCs w:val="20"/>
              </w:rPr>
            </w:pPr>
            <w:r w:rsidRPr="00AD686A">
              <w:rPr>
                <w:rFonts w:ascii="Calibri" w:eastAsia="Times New Roman" w:hAnsi="Calibri" w:cs="Calibri"/>
                <w:b/>
                <w:bCs/>
                <w:color w:val="000000"/>
                <w:sz w:val="20"/>
                <w:szCs w:val="20"/>
              </w:rPr>
              <w:t>Wildfire</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17C2FE" w14:textId="77777777" w:rsidR="00E1024C" w:rsidRPr="00AD686A" w:rsidRDefault="00E1024C" w:rsidP="00AD686A">
            <w:pPr>
              <w:spacing w:after="0" w:line="240" w:lineRule="auto"/>
              <w:jc w:val="right"/>
              <w:rPr>
                <w:rFonts w:ascii="Calibri" w:eastAsia="Times New Roman" w:hAnsi="Calibri" w:cs="Calibri"/>
                <w:b/>
                <w:bCs/>
                <w:color w:val="000000"/>
                <w:sz w:val="20"/>
                <w:szCs w:val="20"/>
              </w:rPr>
            </w:pPr>
            <w:r w:rsidRPr="00AD686A">
              <w:rPr>
                <w:rFonts w:ascii="Calibri" w:eastAsia="Times New Roman" w:hAnsi="Calibri" w:cs="Calibri"/>
                <w:b/>
                <w:bCs/>
                <w:color w:val="000000"/>
                <w:sz w:val="20"/>
                <w:szCs w:val="20"/>
              </w:rPr>
              <w:t>10.0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A0865B" w14:textId="77777777" w:rsidR="00E1024C" w:rsidRPr="00AD686A" w:rsidRDefault="00E1024C" w:rsidP="00AD686A">
            <w:pPr>
              <w:spacing w:after="0" w:line="240" w:lineRule="auto"/>
              <w:jc w:val="right"/>
              <w:rPr>
                <w:rFonts w:ascii="Calibri" w:eastAsia="Times New Roman" w:hAnsi="Calibri" w:cs="Calibri"/>
                <w:b/>
                <w:bCs/>
                <w:color w:val="000000"/>
                <w:sz w:val="20"/>
                <w:szCs w:val="20"/>
              </w:rPr>
            </w:pPr>
            <w:r w:rsidRPr="00AD686A">
              <w:rPr>
                <w:rFonts w:ascii="Calibri" w:eastAsia="Times New Roman" w:hAnsi="Calibri" w:cs="Calibri"/>
                <w:b/>
                <w:bCs/>
                <w:color w:val="000000"/>
                <w:sz w:val="20"/>
                <w:szCs w:val="20"/>
              </w:rPr>
              <w:t>-1.2</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4F231B" w14:textId="77777777" w:rsidR="00E1024C" w:rsidRPr="00AD686A" w:rsidRDefault="00E1024C" w:rsidP="00AD686A">
            <w:pPr>
              <w:spacing w:after="0" w:line="240" w:lineRule="auto"/>
              <w:jc w:val="right"/>
              <w:rPr>
                <w:rFonts w:ascii="Calibri" w:eastAsia="Times New Roman" w:hAnsi="Calibri" w:cs="Calibri"/>
                <w:color w:val="000000"/>
                <w:sz w:val="20"/>
                <w:szCs w:val="20"/>
              </w:rPr>
            </w:pPr>
            <w:r w:rsidRPr="00AD686A">
              <w:rPr>
                <w:rFonts w:ascii="Calibri" w:eastAsia="Times New Roman" w:hAnsi="Calibri" w:cs="Calibri"/>
                <w:color w:val="000000"/>
                <w:sz w:val="20"/>
                <w:szCs w:val="20"/>
              </w:rPr>
              <w:t>11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0298AD" w14:textId="77777777" w:rsidR="00E1024C" w:rsidRPr="00AD686A" w:rsidRDefault="00E1024C" w:rsidP="00AD686A">
            <w:pPr>
              <w:spacing w:after="0" w:line="240" w:lineRule="auto"/>
              <w:jc w:val="right"/>
              <w:rPr>
                <w:rFonts w:ascii="Calibri" w:eastAsia="Times New Roman" w:hAnsi="Calibri" w:cs="Calibri"/>
                <w:color w:val="000000"/>
                <w:sz w:val="20"/>
                <w:szCs w:val="20"/>
              </w:rPr>
            </w:pPr>
            <w:r w:rsidRPr="00AD686A">
              <w:rPr>
                <w:rFonts w:ascii="Calibri" w:eastAsia="Times New Roman" w:hAnsi="Calibri" w:cs="Calibri"/>
                <w:color w:val="000000"/>
                <w:sz w:val="20"/>
                <w:szCs w:val="20"/>
              </w:rPr>
              <w:t>11</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A804D5" w14:textId="77777777" w:rsidR="00E1024C" w:rsidRPr="00AD686A" w:rsidRDefault="00E1024C" w:rsidP="00AD686A">
            <w:pPr>
              <w:spacing w:after="0" w:line="240" w:lineRule="auto"/>
              <w:jc w:val="right"/>
              <w:rPr>
                <w:rFonts w:ascii="Calibri" w:eastAsia="Times New Roman" w:hAnsi="Calibri" w:cs="Calibri"/>
                <w:color w:val="000000"/>
                <w:sz w:val="20"/>
                <w:szCs w:val="20"/>
              </w:rPr>
            </w:pPr>
            <w:r w:rsidRPr="00AD686A">
              <w:rPr>
                <w:rFonts w:ascii="Calibri" w:eastAsia="Times New Roman" w:hAnsi="Calibri" w:cs="Calibri"/>
                <w:color w:val="000000"/>
                <w:sz w:val="20"/>
                <w:szCs w:val="20"/>
              </w:rPr>
              <w:t>11</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CE2D01" w14:textId="77777777" w:rsidR="00E1024C" w:rsidRPr="00AD686A" w:rsidRDefault="00E1024C" w:rsidP="00AD686A">
            <w:pPr>
              <w:spacing w:after="0" w:line="240" w:lineRule="auto"/>
              <w:jc w:val="right"/>
              <w:rPr>
                <w:rFonts w:ascii="Calibri" w:eastAsia="Times New Roman" w:hAnsi="Calibri" w:cs="Calibri"/>
                <w:color w:val="000000"/>
                <w:sz w:val="20"/>
                <w:szCs w:val="20"/>
              </w:rPr>
            </w:pPr>
            <w:r w:rsidRPr="00AD686A">
              <w:rPr>
                <w:rFonts w:ascii="Calibri" w:eastAsia="Times New Roman" w:hAnsi="Calibri" w:cs="Calibri"/>
                <w:color w:val="000000"/>
                <w:sz w:val="20"/>
                <w:szCs w:val="20"/>
              </w:rPr>
              <w:t>12</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A16019" w14:textId="77777777" w:rsidR="00E1024C" w:rsidRPr="00AD686A" w:rsidRDefault="00E1024C" w:rsidP="00AD686A">
            <w:pPr>
              <w:spacing w:after="0" w:line="240" w:lineRule="auto"/>
              <w:jc w:val="right"/>
              <w:rPr>
                <w:rFonts w:ascii="Calibri" w:eastAsia="Times New Roman" w:hAnsi="Calibri" w:cs="Calibri"/>
                <w:color w:val="000000"/>
                <w:sz w:val="20"/>
                <w:szCs w:val="20"/>
              </w:rPr>
            </w:pPr>
            <w:r w:rsidRPr="00AD686A">
              <w:rPr>
                <w:rFonts w:ascii="Calibri" w:eastAsia="Times New Roman" w:hAnsi="Calibri" w:cs="Calibri"/>
                <w:color w:val="000000"/>
                <w:sz w:val="20"/>
                <w:szCs w:val="20"/>
              </w:rPr>
              <w:t>12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F065AA" w14:textId="77777777" w:rsidR="00E1024C" w:rsidRPr="00AD686A" w:rsidRDefault="00E1024C" w:rsidP="00AD686A">
            <w:pPr>
              <w:spacing w:after="0" w:line="240" w:lineRule="auto"/>
              <w:jc w:val="right"/>
              <w:rPr>
                <w:rFonts w:ascii="Calibri" w:eastAsia="Times New Roman" w:hAnsi="Calibri" w:cs="Calibri"/>
                <w:color w:val="000000"/>
                <w:sz w:val="20"/>
                <w:szCs w:val="20"/>
              </w:rPr>
            </w:pPr>
            <w:r w:rsidRPr="00AD686A">
              <w:rPr>
                <w:rFonts w:ascii="Calibri" w:eastAsia="Times New Roman" w:hAnsi="Calibri" w:cs="Calibri"/>
                <w:color w:val="000000"/>
                <w:sz w:val="20"/>
                <w:szCs w:val="20"/>
              </w:rPr>
              <w:t>10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7908A5" w14:textId="77777777" w:rsidR="00E1024C" w:rsidRPr="00AD686A" w:rsidRDefault="00E1024C" w:rsidP="00AD686A">
            <w:pPr>
              <w:spacing w:after="0" w:line="240" w:lineRule="auto"/>
              <w:jc w:val="right"/>
              <w:rPr>
                <w:rFonts w:ascii="Calibri" w:eastAsia="Times New Roman" w:hAnsi="Calibri" w:cs="Calibri"/>
                <w:color w:val="000000"/>
                <w:sz w:val="20"/>
                <w:szCs w:val="20"/>
              </w:rPr>
            </w:pPr>
            <w:r w:rsidRPr="00AD686A">
              <w:rPr>
                <w:rFonts w:ascii="Calibri" w:eastAsia="Times New Roman" w:hAnsi="Calibri" w:cs="Calibri"/>
                <w:color w:val="000000"/>
                <w:sz w:val="20"/>
                <w:szCs w:val="20"/>
              </w:rPr>
              <w:t>12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4D6C46" w14:textId="77777777" w:rsidR="00E1024C" w:rsidRPr="00AD686A" w:rsidRDefault="00E1024C" w:rsidP="00AD686A">
            <w:pPr>
              <w:spacing w:after="0" w:line="240" w:lineRule="auto"/>
              <w:jc w:val="right"/>
              <w:rPr>
                <w:rFonts w:ascii="Calibri" w:eastAsia="Times New Roman" w:hAnsi="Calibri" w:cs="Calibri"/>
                <w:color w:val="000000"/>
                <w:sz w:val="20"/>
                <w:szCs w:val="20"/>
              </w:rPr>
            </w:pPr>
            <w:r w:rsidRPr="00AD686A">
              <w:rPr>
                <w:rFonts w:ascii="Calibri" w:eastAsia="Times New Roman" w:hAnsi="Calibri" w:cs="Calibri"/>
                <w:color w:val="000000"/>
                <w:sz w:val="20"/>
                <w:szCs w:val="20"/>
              </w:rPr>
              <w:t>7</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3F741A" w14:textId="77777777" w:rsidR="00E1024C" w:rsidRPr="00AD686A" w:rsidRDefault="00E1024C" w:rsidP="00AD686A">
            <w:pPr>
              <w:spacing w:after="0" w:line="240" w:lineRule="auto"/>
              <w:jc w:val="right"/>
              <w:rPr>
                <w:rFonts w:ascii="Calibri" w:eastAsia="Times New Roman" w:hAnsi="Calibri" w:cs="Calibri"/>
                <w:color w:val="000000"/>
                <w:sz w:val="20"/>
                <w:szCs w:val="20"/>
              </w:rPr>
            </w:pPr>
            <w:r w:rsidRPr="00AD686A">
              <w:rPr>
                <w:rFonts w:ascii="Calibri" w:eastAsia="Times New Roman" w:hAnsi="Calibri" w:cs="Calibri"/>
                <w:color w:val="000000"/>
                <w:sz w:val="20"/>
                <w:szCs w:val="20"/>
              </w:rPr>
              <w:t>3</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55C58B" w14:textId="77777777" w:rsidR="00E1024C" w:rsidRPr="00AD686A" w:rsidRDefault="00E1024C" w:rsidP="00AD686A">
            <w:pPr>
              <w:spacing w:after="0" w:line="240" w:lineRule="auto"/>
              <w:jc w:val="right"/>
              <w:rPr>
                <w:rFonts w:ascii="Calibri" w:eastAsia="Times New Roman" w:hAnsi="Calibri" w:cs="Calibri"/>
                <w:color w:val="000000"/>
                <w:sz w:val="20"/>
                <w:szCs w:val="20"/>
              </w:rPr>
            </w:pPr>
            <w:r w:rsidRPr="00AD686A">
              <w:rPr>
                <w:rFonts w:ascii="Calibri" w:eastAsia="Times New Roman" w:hAnsi="Calibri" w:cs="Calibri"/>
                <w:color w:val="000000"/>
                <w:sz w:val="20"/>
                <w:szCs w:val="20"/>
              </w:rPr>
              <w:t>9</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880C89" w14:textId="77777777" w:rsidR="00E1024C" w:rsidRPr="00AD686A" w:rsidRDefault="00E1024C" w:rsidP="00AD686A">
            <w:pPr>
              <w:spacing w:after="0" w:line="240" w:lineRule="auto"/>
              <w:jc w:val="right"/>
              <w:rPr>
                <w:rFonts w:ascii="Calibri" w:eastAsia="Times New Roman" w:hAnsi="Calibri" w:cs="Calibri"/>
                <w:color w:val="000000"/>
                <w:sz w:val="20"/>
                <w:szCs w:val="20"/>
              </w:rPr>
            </w:pPr>
            <w:r w:rsidRPr="00AD686A">
              <w:rPr>
                <w:rFonts w:ascii="Calibri" w:eastAsia="Times New Roman" w:hAnsi="Calibri" w:cs="Calibri"/>
                <w:color w:val="000000"/>
                <w:sz w:val="20"/>
                <w:szCs w:val="20"/>
              </w:rPr>
              <w:t>12</w:t>
            </w:r>
          </w:p>
        </w:tc>
      </w:tr>
      <w:tr w:rsidR="009554AE" w:rsidRPr="00AD686A" w14:paraId="06974436" w14:textId="77777777" w:rsidTr="009554AE">
        <w:trPr>
          <w:trHeight w:val="564"/>
        </w:trPr>
        <w:tc>
          <w:tcPr>
            <w:tcW w:w="11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3E5387" w14:textId="77777777" w:rsidR="00E1024C" w:rsidRPr="00AD686A" w:rsidRDefault="00E1024C" w:rsidP="00AD686A">
            <w:pPr>
              <w:spacing w:after="0" w:line="240" w:lineRule="auto"/>
              <w:rPr>
                <w:rFonts w:ascii="Calibri" w:eastAsia="Times New Roman" w:hAnsi="Calibri" w:cs="Calibri"/>
                <w:b/>
                <w:bCs/>
                <w:color w:val="000000"/>
                <w:sz w:val="20"/>
                <w:szCs w:val="20"/>
              </w:rPr>
            </w:pPr>
            <w:r w:rsidRPr="00AD686A">
              <w:rPr>
                <w:rFonts w:ascii="Calibri" w:eastAsia="Times New Roman" w:hAnsi="Calibri" w:cs="Calibri"/>
                <w:b/>
                <w:bCs/>
                <w:color w:val="000000"/>
                <w:sz w:val="20"/>
                <w:szCs w:val="20"/>
              </w:rPr>
              <w:t>Invasive Species</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D139BB" w14:textId="77777777" w:rsidR="00E1024C" w:rsidRPr="00AD686A" w:rsidRDefault="00E1024C" w:rsidP="00AD686A">
            <w:pPr>
              <w:spacing w:after="0" w:line="240" w:lineRule="auto"/>
              <w:jc w:val="right"/>
              <w:rPr>
                <w:rFonts w:ascii="Calibri" w:eastAsia="Times New Roman" w:hAnsi="Calibri" w:cs="Calibri"/>
                <w:b/>
                <w:bCs/>
                <w:color w:val="000000"/>
                <w:sz w:val="20"/>
                <w:szCs w:val="20"/>
              </w:rPr>
            </w:pPr>
            <w:r w:rsidRPr="00AD686A">
              <w:rPr>
                <w:rFonts w:ascii="Calibri" w:eastAsia="Times New Roman" w:hAnsi="Calibri" w:cs="Calibri"/>
                <w:b/>
                <w:bCs/>
                <w:color w:val="000000"/>
                <w:sz w:val="20"/>
                <w:szCs w:val="20"/>
              </w:rPr>
              <w:t>10.2</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A08D0D" w14:textId="77777777" w:rsidR="00E1024C" w:rsidRPr="00AD686A" w:rsidRDefault="00E1024C" w:rsidP="00AD686A">
            <w:pPr>
              <w:spacing w:after="0" w:line="240" w:lineRule="auto"/>
              <w:jc w:val="right"/>
              <w:rPr>
                <w:rFonts w:ascii="Calibri" w:eastAsia="Times New Roman" w:hAnsi="Calibri" w:cs="Calibri"/>
                <w:b/>
                <w:bCs/>
                <w:color w:val="000000"/>
                <w:sz w:val="20"/>
                <w:szCs w:val="20"/>
              </w:rPr>
            </w:pPr>
            <w:r w:rsidRPr="00AD686A">
              <w:rPr>
                <w:rFonts w:ascii="Calibri" w:eastAsia="Times New Roman" w:hAnsi="Calibri" w:cs="Calibri"/>
                <w:b/>
                <w:bCs/>
                <w:color w:val="000000"/>
                <w:sz w:val="20"/>
                <w:szCs w:val="20"/>
              </w:rPr>
              <w:t>-2.2</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502EED" w14:textId="77777777" w:rsidR="00E1024C" w:rsidRPr="00AD686A" w:rsidRDefault="00E1024C" w:rsidP="00AD686A">
            <w:pPr>
              <w:spacing w:after="0" w:line="240" w:lineRule="auto"/>
              <w:jc w:val="right"/>
              <w:rPr>
                <w:rFonts w:ascii="Calibri" w:eastAsia="Times New Roman" w:hAnsi="Calibri" w:cs="Calibri"/>
                <w:color w:val="000000"/>
                <w:sz w:val="20"/>
                <w:szCs w:val="20"/>
              </w:rPr>
            </w:pPr>
            <w:r w:rsidRPr="00AD686A">
              <w:rPr>
                <w:rFonts w:ascii="Calibri" w:eastAsia="Times New Roman" w:hAnsi="Calibri" w:cs="Calibri"/>
                <w:color w:val="000000"/>
                <w:sz w:val="20"/>
                <w:szCs w:val="20"/>
              </w:rPr>
              <w:t>12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24EFAC" w14:textId="77777777" w:rsidR="00E1024C" w:rsidRPr="00AD686A" w:rsidRDefault="00E1024C" w:rsidP="00AD686A">
            <w:pPr>
              <w:spacing w:after="0" w:line="240" w:lineRule="auto"/>
              <w:jc w:val="right"/>
              <w:rPr>
                <w:rFonts w:ascii="Calibri" w:eastAsia="Times New Roman" w:hAnsi="Calibri" w:cs="Calibri"/>
                <w:color w:val="000000"/>
                <w:sz w:val="20"/>
                <w:szCs w:val="20"/>
              </w:rPr>
            </w:pPr>
            <w:r w:rsidRPr="00AD686A">
              <w:rPr>
                <w:rFonts w:ascii="Calibri" w:eastAsia="Times New Roman" w:hAnsi="Calibri" w:cs="Calibri"/>
                <w:color w:val="000000"/>
                <w:sz w:val="20"/>
                <w:szCs w:val="20"/>
              </w:rPr>
              <w:t>7</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0B6E75" w14:textId="77777777" w:rsidR="00E1024C" w:rsidRPr="00AD686A" w:rsidRDefault="00E1024C" w:rsidP="00AD686A">
            <w:pPr>
              <w:spacing w:after="0" w:line="240" w:lineRule="auto"/>
              <w:jc w:val="right"/>
              <w:rPr>
                <w:rFonts w:ascii="Calibri" w:eastAsia="Times New Roman" w:hAnsi="Calibri" w:cs="Calibri"/>
                <w:color w:val="000000"/>
                <w:sz w:val="20"/>
                <w:szCs w:val="20"/>
              </w:rPr>
            </w:pPr>
            <w:r w:rsidRPr="00AD686A">
              <w:rPr>
                <w:rFonts w:ascii="Calibri" w:eastAsia="Times New Roman" w:hAnsi="Calibri" w:cs="Calibri"/>
                <w:color w:val="000000"/>
                <w:sz w:val="20"/>
                <w:szCs w:val="20"/>
              </w:rPr>
              <w:t>10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99313B" w14:textId="77777777" w:rsidR="00E1024C" w:rsidRPr="00AD686A" w:rsidRDefault="00E1024C" w:rsidP="00AD686A">
            <w:pPr>
              <w:spacing w:after="0" w:line="240" w:lineRule="auto"/>
              <w:jc w:val="right"/>
              <w:rPr>
                <w:rFonts w:ascii="Calibri" w:eastAsia="Times New Roman" w:hAnsi="Calibri" w:cs="Calibri"/>
                <w:color w:val="000000"/>
                <w:sz w:val="20"/>
                <w:szCs w:val="20"/>
              </w:rPr>
            </w:pPr>
            <w:r w:rsidRPr="00AD686A">
              <w:rPr>
                <w:rFonts w:ascii="Calibri" w:eastAsia="Times New Roman" w:hAnsi="Calibri" w:cs="Calibri"/>
                <w:color w:val="000000"/>
                <w:sz w:val="20"/>
                <w:szCs w:val="20"/>
              </w:rPr>
              <w:t>13</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027D25" w14:textId="77777777" w:rsidR="00E1024C" w:rsidRPr="00AD686A" w:rsidRDefault="00E1024C" w:rsidP="00AD686A">
            <w:pPr>
              <w:spacing w:after="0" w:line="240" w:lineRule="auto"/>
              <w:jc w:val="right"/>
              <w:rPr>
                <w:rFonts w:ascii="Calibri" w:eastAsia="Times New Roman" w:hAnsi="Calibri" w:cs="Calibri"/>
                <w:color w:val="000000"/>
                <w:sz w:val="20"/>
                <w:szCs w:val="20"/>
              </w:rPr>
            </w:pPr>
            <w:r w:rsidRPr="00AD686A">
              <w:rPr>
                <w:rFonts w:ascii="Calibri" w:eastAsia="Times New Roman" w:hAnsi="Calibri" w:cs="Calibri"/>
                <w:color w:val="000000"/>
                <w:sz w:val="20"/>
                <w:szCs w:val="20"/>
              </w:rPr>
              <w:t>11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87F70C" w14:textId="77777777" w:rsidR="00E1024C" w:rsidRPr="00AD686A" w:rsidRDefault="00E1024C" w:rsidP="00AD686A">
            <w:pPr>
              <w:spacing w:after="0" w:line="240" w:lineRule="auto"/>
              <w:jc w:val="right"/>
              <w:rPr>
                <w:rFonts w:ascii="Calibri" w:eastAsia="Times New Roman" w:hAnsi="Calibri" w:cs="Calibri"/>
                <w:color w:val="000000"/>
                <w:sz w:val="20"/>
                <w:szCs w:val="20"/>
              </w:rPr>
            </w:pPr>
            <w:r w:rsidRPr="00AD686A">
              <w:rPr>
                <w:rFonts w:ascii="Calibri" w:eastAsia="Times New Roman" w:hAnsi="Calibri" w:cs="Calibri"/>
                <w:color w:val="000000"/>
                <w:sz w:val="20"/>
                <w:szCs w:val="20"/>
              </w:rPr>
              <w:t>13</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1D2B8D" w14:textId="77777777" w:rsidR="00E1024C" w:rsidRPr="00AD686A" w:rsidRDefault="00E1024C" w:rsidP="00AD686A">
            <w:pPr>
              <w:spacing w:after="0" w:line="240" w:lineRule="auto"/>
              <w:jc w:val="right"/>
              <w:rPr>
                <w:rFonts w:ascii="Calibri" w:eastAsia="Times New Roman" w:hAnsi="Calibri" w:cs="Calibri"/>
                <w:color w:val="000000"/>
                <w:sz w:val="20"/>
                <w:szCs w:val="20"/>
              </w:rPr>
            </w:pPr>
            <w:r w:rsidRPr="00AD686A">
              <w:rPr>
                <w:rFonts w:ascii="Calibri" w:eastAsia="Times New Roman" w:hAnsi="Calibri" w:cs="Calibri"/>
                <w:color w:val="000000"/>
                <w:sz w:val="20"/>
                <w:szCs w:val="20"/>
              </w:rPr>
              <w:t>9</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1C8FCC" w14:textId="77777777" w:rsidR="00E1024C" w:rsidRPr="00AD686A" w:rsidRDefault="00E1024C" w:rsidP="00AD686A">
            <w:pPr>
              <w:spacing w:after="0" w:line="240" w:lineRule="auto"/>
              <w:jc w:val="right"/>
              <w:rPr>
                <w:rFonts w:ascii="Calibri" w:eastAsia="Times New Roman" w:hAnsi="Calibri" w:cs="Calibri"/>
                <w:color w:val="000000"/>
                <w:sz w:val="20"/>
                <w:szCs w:val="20"/>
              </w:rPr>
            </w:pPr>
            <w:r w:rsidRPr="00AD686A">
              <w:rPr>
                <w:rFonts w:ascii="Calibri" w:eastAsia="Times New Roman" w:hAnsi="Calibri" w:cs="Calibri"/>
                <w:color w:val="000000"/>
                <w:sz w:val="20"/>
                <w:szCs w:val="20"/>
              </w:rPr>
              <w:t>10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C55B33" w14:textId="77777777" w:rsidR="00E1024C" w:rsidRPr="00AD686A" w:rsidRDefault="00E1024C" w:rsidP="00AD686A">
            <w:pPr>
              <w:spacing w:after="0" w:line="240" w:lineRule="auto"/>
              <w:jc w:val="right"/>
              <w:rPr>
                <w:rFonts w:ascii="Calibri" w:eastAsia="Times New Roman" w:hAnsi="Calibri" w:cs="Calibri"/>
                <w:color w:val="000000"/>
                <w:sz w:val="20"/>
                <w:szCs w:val="20"/>
              </w:rPr>
            </w:pPr>
            <w:r w:rsidRPr="00AD686A">
              <w:rPr>
                <w:rFonts w:ascii="Calibri" w:eastAsia="Times New Roman" w:hAnsi="Calibri" w:cs="Calibri"/>
                <w:color w:val="000000"/>
                <w:sz w:val="20"/>
                <w:szCs w:val="20"/>
              </w:rPr>
              <w:t>11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48A86A" w14:textId="77777777" w:rsidR="00E1024C" w:rsidRPr="00AD686A" w:rsidRDefault="00E1024C" w:rsidP="00AD686A">
            <w:pPr>
              <w:spacing w:after="0" w:line="240" w:lineRule="auto"/>
              <w:jc w:val="right"/>
              <w:rPr>
                <w:rFonts w:ascii="Calibri" w:eastAsia="Times New Roman" w:hAnsi="Calibri" w:cs="Calibri"/>
                <w:color w:val="000000"/>
                <w:sz w:val="20"/>
                <w:szCs w:val="20"/>
              </w:rPr>
            </w:pPr>
            <w:r w:rsidRPr="00AD686A">
              <w:rPr>
                <w:rFonts w:ascii="Calibri" w:eastAsia="Times New Roman" w:hAnsi="Calibri" w:cs="Calibri"/>
                <w:color w:val="000000"/>
                <w:sz w:val="20"/>
                <w:szCs w:val="20"/>
              </w:rPr>
              <w:t>10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71D223" w14:textId="77777777" w:rsidR="00E1024C" w:rsidRPr="00AD686A" w:rsidRDefault="00E1024C" w:rsidP="00AD686A">
            <w:pPr>
              <w:spacing w:after="0" w:line="240" w:lineRule="auto"/>
              <w:jc w:val="right"/>
              <w:rPr>
                <w:rFonts w:ascii="Calibri" w:eastAsia="Times New Roman" w:hAnsi="Calibri" w:cs="Calibri"/>
                <w:color w:val="000000"/>
                <w:sz w:val="20"/>
                <w:szCs w:val="20"/>
              </w:rPr>
            </w:pPr>
            <w:r w:rsidRPr="00AD686A">
              <w:rPr>
                <w:rFonts w:ascii="Calibri" w:eastAsia="Times New Roman" w:hAnsi="Calibri" w:cs="Calibri"/>
                <w:color w:val="000000"/>
                <w:sz w:val="20"/>
                <w:szCs w:val="20"/>
              </w:rPr>
              <w:t>6</w:t>
            </w:r>
          </w:p>
        </w:tc>
      </w:tr>
      <w:tr w:rsidR="009554AE" w:rsidRPr="00AD686A" w14:paraId="77410796" w14:textId="77777777" w:rsidTr="009554AE">
        <w:trPr>
          <w:trHeight w:val="300"/>
        </w:trPr>
        <w:tc>
          <w:tcPr>
            <w:tcW w:w="11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2087A2" w14:textId="77777777" w:rsidR="00E1024C" w:rsidRPr="00AD686A" w:rsidRDefault="00E1024C" w:rsidP="00AD686A">
            <w:pPr>
              <w:spacing w:after="0" w:line="240" w:lineRule="auto"/>
              <w:rPr>
                <w:rFonts w:ascii="Calibri" w:eastAsia="Times New Roman" w:hAnsi="Calibri" w:cs="Calibri"/>
                <w:b/>
                <w:bCs/>
                <w:color w:val="000000"/>
                <w:sz w:val="20"/>
                <w:szCs w:val="20"/>
              </w:rPr>
            </w:pPr>
            <w:r w:rsidRPr="00AD686A">
              <w:rPr>
                <w:rFonts w:ascii="Calibri" w:eastAsia="Times New Roman" w:hAnsi="Calibri" w:cs="Calibri"/>
                <w:b/>
                <w:bCs/>
                <w:color w:val="000000"/>
                <w:sz w:val="20"/>
                <w:szCs w:val="20"/>
              </w:rPr>
              <w:t>Hail</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29446E" w14:textId="77777777" w:rsidR="00E1024C" w:rsidRPr="00AD686A" w:rsidRDefault="00E1024C" w:rsidP="00AD686A">
            <w:pPr>
              <w:spacing w:after="0" w:line="240" w:lineRule="auto"/>
              <w:jc w:val="right"/>
              <w:rPr>
                <w:rFonts w:ascii="Calibri" w:eastAsia="Times New Roman" w:hAnsi="Calibri" w:cs="Calibri"/>
                <w:b/>
                <w:bCs/>
                <w:color w:val="000000"/>
                <w:sz w:val="20"/>
                <w:szCs w:val="20"/>
              </w:rPr>
            </w:pPr>
            <w:r w:rsidRPr="00AD686A">
              <w:rPr>
                <w:rFonts w:ascii="Calibri" w:eastAsia="Times New Roman" w:hAnsi="Calibri" w:cs="Calibri"/>
                <w:b/>
                <w:bCs/>
                <w:color w:val="000000"/>
                <w:sz w:val="20"/>
                <w:szCs w:val="20"/>
              </w:rPr>
              <w:t>10.9</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332BBD" w14:textId="77777777" w:rsidR="00E1024C" w:rsidRPr="00AD686A" w:rsidRDefault="00E1024C" w:rsidP="00AD686A">
            <w:pPr>
              <w:spacing w:after="0" w:line="240" w:lineRule="auto"/>
              <w:jc w:val="right"/>
              <w:rPr>
                <w:rFonts w:ascii="Calibri" w:eastAsia="Times New Roman" w:hAnsi="Calibri" w:cs="Calibri"/>
                <w:b/>
                <w:bCs/>
                <w:color w:val="000000"/>
                <w:sz w:val="20"/>
                <w:szCs w:val="20"/>
              </w:rPr>
            </w:pPr>
            <w:r w:rsidRPr="00AD686A">
              <w:rPr>
                <w:rFonts w:ascii="Calibri" w:eastAsia="Times New Roman" w:hAnsi="Calibri" w:cs="Calibri"/>
                <w:b/>
                <w:bCs/>
                <w:color w:val="000000"/>
                <w:sz w:val="20"/>
                <w:szCs w:val="20"/>
              </w:rPr>
              <w:t>-1.4</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21F490" w14:textId="77777777" w:rsidR="00E1024C" w:rsidRPr="00AD686A" w:rsidRDefault="00E1024C" w:rsidP="00AD686A">
            <w:pPr>
              <w:spacing w:after="0" w:line="240" w:lineRule="auto"/>
              <w:jc w:val="right"/>
              <w:rPr>
                <w:rFonts w:ascii="Calibri" w:eastAsia="Times New Roman" w:hAnsi="Calibri" w:cs="Calibri"/>
                <w:color w:val="000000"/>
                <w:sz w:val="20"/>
                <w:szCs w:val="20"/>
              </w:rPr>
            </w:pPr>
            <w:r w:rsidRPr="00AD686A">
              <w:rPr>
                <w:rFonts w:ascii="Calibri" w:eastAsia="Times New Roman" w:hAnsi="Calibri" w:cs="Calibri"/>
                <w:color w:val="000000"/>
                <w:sz w:val="20"/>
                <w:szCs w:val="20"/>
              </w:rPr>
              <w:t>9</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AFF860" w14:textId="77777777" w:rsidR="00E1024C" w:rsidRPr="00AD686A" w:rsidRDefault="00E1024C" w:rsidP="00AD686A">
            <w:pPr>
              <w:spacing w:after="0" w:line="240" w:lineRule="auto"/>
              <w:jc w:val="right"/>
              <w:rPr>
                <w:rFonts w:ascii="Calibri" w:eastAsia="Times New Roman" w:hAnsi="Calibri" w:cs="Calibri"/>
                <w:color w:val="000000"/>
                <w:sz w:val="20"/>
                <w:szCs w:val="20"/>
              </w:rPr>
            </w:pPr>
            <w:r w:rsidRPr="00AD686A">
              <w:rPr>
                <w:rFonts w:ascii="Calibri" w:eastAsia="Times New Roman" w:hAnsi="Calibri" w:cs="Calibri"/>
                <w:color w:val="000000"/>
                <w:sz w:val="20"/>
                <w:szCs w:val="20"/>
              </w:rPr>
              <w:t>12</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D86053" w14:textId="77777777" w:rsidR="00E1024C" w:rsidRPr="00AD686A" w:rsidRDefault="00E1024C" w:rsidP="00AD686A">
            <w:pPr>
              <w:spacing w:after="0" w:line="240" w:lineRule="auto"/>
              <w:jc w:val="right"/>
              <w:rPr>
                <w:rFonts w:ascii="Calibri" w:eastAsia="Times New Roman" w:hAnsi="Calibri" w:cs="Calibri"/>
                <w:color w:val="000000"/>
                <w:sz w:val="20"/>
                <w:szCs w:val="20"/>
              </w:rPr>
            </w:pPr>
            <w:r w:rsidRPr="00AD686A">
              <w:rPr>
                <w:rFonts w:ascii="Calibri" w:eastAsia="Times New Roman" w:hAnsi="Calibri" w:cs="Calibri"/>
                <w:color w:val="000000"/>
                <w:sz w:val="20"/>
                <w:szCs w:val="20"/>
              </w:rPr>
              <w:t>12</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F44E1B" w14:textId="77777777" w:rsidR="00E1024C" w:rsidRPr="00AD686A" w:rsidRDefault="00E1024C" w:rsidP="00AD686A">
            <w:pPr>
              <w:spacing w:after="0" w:line="240" w:lineRule="auto"/>
              <w:jc w:val="right"/>
              <w:rPr>
                <w:rFonts w:ascii="Calibri" w:eastAsia="Times New Roman" w:hAnsi="Calibri" w:cs="Calibri"/>
                <w:color w:val="000000"/>
                <w:sz w:val="20"/>
                <w:szCs w:val="20"/>
              </w:rPr>
            </w:pPr>
            <w:r w:rsidRPr="00AD686A">
              <w:rPr>
                <w:rFonts w:ascii="Calibri" w:eastAsia="Times New Roman" w:hAnsi="Calibri" w:cs="Calibri"/>
                <w:color w:val="000000"/>
                <w:sz w:val="20"/>
                <w:szCs w:val="20"/>
              </w:rPr>
              <w:t>7</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65489D" w14:textId="77777777" w:rsidR="00E1024C" w:rsidRPr="00AD686A" w:rsidRDefault="00E1024C" w:rsidP="00AD686A">
            <w:pPr>
              <w:spacing w:after="0" w:line="240" w:lineRule="auto"/>
              <w:jc w:val="right"/>
              <w:rPr>
                <w:rFonts w:ascii="Calibri" w:eastAsia="Times New Roman" w:hAnsi="Calibri" w:cs="Calibri"/>
                <w:color w:val="000000"/>
                <w:sz w:val="20"/>
                <w:szCs w:val="20"/>
              </w:rPr>
            </w:pPr>
            <w:r w:rsidRPr="00AD686A">
              <w:rPr>
                <w:rFonts w:ascii="Calibri" w:eastAsia="Times New Roman" w:hAnsi="Calibri" w:cs="Calibri"/>
                <w:color w:val="000000"/>
                <w:sz w:val="20"/>
                <w:szCs w:val="20"/>
              </w:rPr>
              <w:t>9</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9F6A9A" w14:textId="77777777" w:rsidR="00E1024C" w:rsidRPr="00AD686A" w:rsidRDefault="00E1024C" w:rsidP="00AD686A">
            <w:pPr>
              <w:spacing w:after="0" w:line="240" w:lineRule="auto"/>
              <w:jc w:val="right"/>
              <w:rPr>
                <w:rFonts w:ascii="Calibri" w:eastAsia="Times New Roman" w:hAnsi="Calibri" w:cs="Calibri"/>
                <w:color w:val="000000"/>
                <w:sz w:val="20"/>
                <w:szCs w:val="20"/>
              </w:rPr>
            </w:pPr>
            <w:r w:rsidRPr="00AD686A">
              <w:rPr>
                <w:rFonts w:ascii="Calibri" w:eastAsia="Times New Roman" w:hAnsi="Calibri" w:cs="Calibri"/>
                <w:color w:val="000000"/>
                <w:sz w:val="20"/>
                <w:szCs w:val="20"/>
              </w:rPr>
              <w:t>11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C97F4C" w14:textId="77777777" w:rsidR="00E1024C" w:rsidRPr="00AD686A" w:rsidRDefault="00E1024C" w:rsidP="00AD686A">
            <w:pPr>
              <w:spacing w:after="0" w:line="240" w:lineRule="auto"/>
              <w:jc w:val="right"/>
              <w:rPr>
                <w:rFonts w:ascii="Calibri" w:eastAsia="Times New Roman" w:hAnsi="Calibri" w:cs="Calibri"/>
                <w:color w:val="000000"/>
                <w:sz w:val="20"/>
                <w:szCs w:val="20"/>
              </w:rPr>
            </w:pPr>
            <w:r w:rsidRPr="00AD686A">
              <w:rPr>
                <w:rFonts w:ascii="Calibri" w:eastAsia="Times New Roman" w:hAnsi="Calibri" w:cs="Calibri"/>
                <w:color w:val="000000"/>
                <w:sz w:val="20"/>
                <w:szCs w:val="20"/>
              </w:rPr>
              <w:t>11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2548EC" w14:textId="77777777" w:rsidR="00E1024C" w:rsidRPr="00AD686A" w:rsidRDefault="00E1024C" w:rsidP="00AD686A">
            <w:pPr>
              <w:spacing w:after="0" w:line="240" w:lineRule="auto"/>
              <w:jc w:val="right"/>
              <w:rPr>
                <w:rFonts w:ascii="Calibri" w:eastAsia="Times New Roman" w:hAnsi="Calibri" w:cs="Calibri"/>
                <w:color w:val="000000"/>
                <w:sz w:val="20"/>
                <w:szCs w:val="20"/>
              </w:rPr>
            </w:pPr>
            <w:r w:rsidRPr="00AD686A">
              <w:rPr>
                <w:rFonts w:ascii="Calibri" w:eastAsia="Times New Roman" w:hAnsi="Calibri" w:cs="Calibri"/>
                <w:color w:val="000000"/>
                <w:sz w:val="20"/>
                <w:szCs w:val="20"/>
              </w:rPr>
              <w:t>11</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6B560E" w14:textId="77777777" w:rsidR="00E1024C" w:rsidRPr="00AD686A" w:rsidRDefault="00E1024C" w:rsidP="00AD686A">
            <w:pPr>
              <w:spacing w:after="0" w:line="240" w:lineRule="auto"/>
              <w:jc w:val="right"/>
              <w:rPr>
                <w:rFonts w:ascii="Calibri" w:eastAsia="Times New Roman" w:hAnsi="Calibri" w:cs="Calibri"/>
                <w:color w:val="000000"/>
                <w:sz w:val="20"/>
                <w:szCs w:val="20"/>
              </w:rPr>
            </w:pPr>
            <w:r w:rsidRPr="00AD686A">
              <w:rPr>
                <w:rFonts w:ascii="Calibri" w:eastAsia="Times New Roman" w:hAnsi="Calibri" w:cs="Calibri"/>
                <w:color w:val="000000"/>
                <w:sz w:val="20"/>
                <w:szCs w:val="20"/>
              </w:rPr>
              <w:t>13</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D14C80" w14:textId="77777777" w:rsidR="00E1024C" w:rsidRPr="00AD686A" w:rsidRDefault="00E1024C" w:rsidP="00AD686A">
            <w:pPr>
              <w:spacing w:after="0" w:line="240" w:lineRule="auto"/>
              <w:jc w:val="right"/>
              <w:rPr>
                <w:rFonts w:ascii="Calibri" w:eastAsia="Times New Roman" w:hAnsi="Calibri" w:cs="Calibri"/>
                <w:color w:val="000000"/>
                <w:sz w:val="20"/>
                <w:szCs w:val="20"/>
              </w:rPr>
            </w:pPr>
            <w:r w:rsidRPr="00AD686A">
              <w:rPr>
                <w:rFonts w:ascii="Calibri" w:eastAsia="Times New Roman" w:hAnsi="Calibri" w:cs="Calibri"/>
                <w:color w:val="000000"/>
                <w:sz w:val="20"/>
                <w:szCs w:val="20"/>
              </w:rPr>
              <w:t>12</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709641" w14:textId="77777777" w:rsidR="00E1024C" w:rsidRPr="00AD686A" w:rsidRDefault="00E1024C" w:rsidP="00AD686A">
            <w:pPr>
              <w:spacing w:after="0" w:line="240" w:lineRule="auto"/>
              <w:jc w:val="right"/>
              <w:rPr>
                <w:rFonts w:ascii="Calibri" w:eastAsia="Times New Roman" w:hAnsi="Calibri" w:cs="Calibri"/>
                <w:color w:val="000000"/>
                <w:sz w:val="20"/>
                <w:szCs w:val="20"/>
              </w:rPr>
            </w:pPr>
            <w:r w:rsidRPr="00AD686A">
              <w:rPr>
                <w:rFonts w:ascii="Calibri" w:eastAsia="Times New Roman" w:hAnsi="Calibri" w:cs="Calibri"/>
                <w:color w:val="000000"/>
                <w:sz w:val="20"/>
                <w:szCs w:val="20"/>
              </w:rPr>
              <w:t>13</w:t>
            </w:r>
          </w:p>
        </w:tc>
      </w:tr>
      <w:tr w:rsidR="009554AE" w:rsidRPr="00AD686A" w14:paraId="3421939B" w14:textId="77777777" w:rsidTr="009554AE">
        <w:trPr>
          <w:trHeight w:val="300"/>
        </w:trPr>
        <w:tc>
          <w:tcPr>
            <w:tcW w:w="11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CD0CBE" w14:textId="77777777" w:rsidR="00E1024C" w:rsidRPr="00AD686A" w:rsidRDefault="00E1024C" w:rsidP="00AD686A">
            <w:pPr>
              <w:spacing w:after="0" w:line="240" w:lineRule="auto"/>
              <w:rPr>
                <w:rFonts w:ascii="Calibri" w:eastAsia="Times New Roman" w:hAnsi="Calibri" w:cs="Calibri"/>
                <w:b/>
                <w:bCs/>
                <w:color w:val="000000"/>
                <w:sz w:val="20"/>
                <w:szCs w:val="20"/>
              </w:rPr>
            </w:pPr>
            <w:r w:rsidRPr="00AD686A">
              <w:rPr>
                <w:rFonts w:ascii="Calibri" w:eastAsia="Times New Roman" w:hAnsi="Calibri" w:cs="Calibri"/>
                <w:b/>
                <w:bCs/>
                <w:color w:val="000000"/>
                <w:sz w:val="20"/>
                <w:szCs w:val="20"/>
              </w:rPr>
              <w:t>Landslides</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AE313A" w14:textId="77777777" w:rsidR="00E1024C" w:rsidRPr="00AD686A" w:rsidRDefault="00E1024C" w:rsidP="00AD686A">
            <w:pPr>
              <w:spacing w:after="0" w:line="240" w:lineRule="auto"/>
              <w:jc w:val="right"/>
              <w:rPr>
                <w:rFonts w:ascii="Calibri" w:eastAsia="Times New Roman" w:hAnsi="Calibri" w:cs="Calibri"/>
                <w:b/>
                <w:bCs/>
                <w:color w:val="000000"/>
                <w:sz w:val="20"/>
                <w:szCs w:val="20"/>
              </w:rPr>
            </w:pPr>
            <w:r w:rsidRPr="00AD686A">
              <w:rPr>
                <w:rFonts w:ascii="Calibri" w:eastAsia="Times New Roman" w:hAnsi="Calibri" w:cs="Calibri"/>
                <w:b/>
                <w:bCs/>
                <w:color w:val="000000"/>
                <w:sz w:val="20"/>
                <w:szCs w:val="20"/>
              </w:rPr>
              <w:t>11.6</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A34508" w14:textId="77777777" w:rsidR="00E1024C" w:rsidRPr="00AD686A" w:rsidRDefault="00E1024C" w:rsidP="00AD686A">
            <w:pPr>
              <w:spacing w:after="0" w:line="240" w:lineRule="auto"/>
              <w:jc w:val="right"/>
              <w:rPr>
                <w:rFonts w:ascii="Calibri" w:eastAsia="Times New Roman" w:hAnsi="Calibri" w:cs="Calibri"/>
                <w:b/>
                <w:bCs/>
                <w:color w:val="000000"/>
                <w:sz w:val="20"/>
                <w:szCs w:val="20"/>
              </w:rPr>
            </w:pPr>
            <w:r w:rsidRPr="00AD686A">
              <w:rPr>
                <w:rFonts w:ascii="Calibri" w:eastAsia="Times New Roman" w:hAnsi="Calibri" w:cs="Calibri"/>
                <w:b/>
                <w:bCs/>
                <w:color w:val="000000"/>
                <w:sz w:val="20"/>
                <w:szCs w:val="20"/>
              </w:rPr>
              <w:t>-3.2</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9BF7E8" w14:textId="77777777" w:rsidR="00E1024C" w:rsidRPr="00AD686A" w:rsidRDefault="00E1024C" w:rsidP="00AD686A">
            <w:pPr>
              <w:spacing w:after="0" w:line="240" w:lineRule="auto"/>
              <w:jc w:val="right"/>
              <w:rPr>
                <w:rFonts w:ascii="Calibri" w:eastAsia="Times New Roman" w:hAnsi="Calibri" w:cs="Calibri"/>
                <w:color w:val="000000"/>
                <w:sz w:val="20"/>
                <w:szCs w:val="20"/>
              </w:rPr>
            </w:pPr>
            <w:r w:rsidRPr="00AD686A">
              <w:rPr>
                <w:rFonts w:ascii="Calibri" w:eastAsia="Times New Roman" w:hAnsi="Calibri" w:cs="Calibri"/>
                <w:color w:val="000000"/>
                <w:sz w:val="20"/>
                <w:szCs w:val="20"/>
              </w:rPr>
              <w:t>13</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825B5E" w14:textId="77777777" w:rsidR="00E1024C" w:rsidRPr="00AD686A" w:rsidRDefault="00E1024C" w:rsidP="00AD686A">
            <w:pPr>
              <w:spacing w:after="0" w:line="240" w:lineRule="auto"/>
              <w:jc w:val="right"/>
              <w:rPr>
                <w:rFonts w:ascii="Calibri" w:eastAsia="Times New Roman" w:hAnsi="Calibri" w:cs="Calibri"/>
                <w:color w:val="000000"/>
                <w:sz w:val="20"/>
                <w:szCs w:val="20"/>
              </w:rPr>
            </w:pPr>
            <w:r w:rsidRPr="00AD686A">
              <w:rPr>
                <w:rFonts w:ascii="Calibri" w:eastAsia="Times New Roman" w:hAnsi="Calibri" w:cs="Calibri"/>
                <w:color w:val="000000"/>
                <w:sz w:val="20"/>
                <w:szCs w:val="20"/>
              </w:rPr>
              <w:t>14</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F8080F" w14:textId="77777777" w:rsidR="00E1024C" w:rsidRPr="00AD686A" w:rsidRDefault="00E1024C" w:rsidP="00AD686A">
            <w:pPr>
              <w:spacing w:after="0" w:line="240" w:lineRule="auto"/>
              <w:jc w:val="right"/>
              <w:rPr>
                <w:rFonts w:ascii="Calibri" w:eastAsia="Times New Roman" w:hAnsi="Calibri" w:cs="Calibri"/>
                <w:color w:val="000000"/>
                <w:sz w:val="20"/>
                <w:szCs w:val="20"/>
              </w:rPr>
            </w:pPr>
            <w:r w:rsidRPr="00AD686A">
              <w:rPr>
                <w:rFonts w:ascii="Calibri" w:eastAsia="Times New Roman" w:hAnsi="Calibri" w:cs="Calibri"/>
                <w:color w:val="000000"/>
                <w:sz w:val="20"/>
                <w:szCs w:val="20"/>
              </w:rPr>
              <w:t>13</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59D1EF" w14:textId="77777777" w:rsidR="00E1024C" w:rsidRPr="00AD686A" w:rsidRDefault="00E1024C" w:rsidP="00AD686A">
            <w:pPr>
              <w:spacing w:after="0" w:line="240" w:lineRule="auto"/>
              <w:jc w:val="right"/>
              <w:rPr>
                <w:rFonts w:ascii="Calibri" w:eastAsia="Times New Roman" w:hAnsi="Calibri" w:cs="Calibri"/>
                <w:color w:val="000000"/>
                <w:sz w:val="20"/>
                <w:szCs w:val="20"/>
              </w:rPr>
            </w:pPr>
            <w:r w:rsidRPr="00AD686A">
              <w:rPr>
                <w:rFonts w:ascii="Calibri" w:eastAsia="Times New Roman" w:hAnsi="Calibri" w:cs="Calibri"/>
                <w:color w:val="000000"/>
                <w:sz w:val="20"/>
                <w:szCs w:val="20"/>
              </w:rPr>
              <w:t>11</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D7974A" w14:textId="77777777" w:rsidR="00E1024C" w:rsidRPr="00AD686A" w:rsidRDefault="00E1024C" w:rsidP="00AD686A">
            <w:pPr>
              <w:spacing w:after="0" w:line="240" w:lineRule="auto"/>
              <w:jc w:val="right"/>
              <w:rPr>
                <w:rFonts w:ascii="Calibri" w:eastAsia="Times New Roman" w:hAnsi="Calibri" w:cs="Calibri"/>
                <w:color w:val="000000"/>
                <w:sz w:val="20"/>
                <w:szCs w:val="20"/>
              </w:rPr>
            </w:pPr>
            <w:r w:rsidRPr="00AD686A">
              <w:rPr>
                <w:rFonts w:ascii="Calibri" w:eastAsia="Times New Roman" w:hAnsi="Calibri" w:cs="Calibri"/>
                <w:color w:val="000000"/>
                <w:sz w:val="20"/>
                <w:szCs w:val="20"/>
              </w:rPr>
              <w:t>13</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D3C713" w14:textId="77777777" w:rsidR="00E1024C" w:rsidRPr="00AD686A" w:rsidRDefault="00E1024C" w:rsidP="00AD686A">
            <w:pPr>
              <w:spacing w:after="0" w:line="240" w:lineRule="auto"/>
              <w:jc w:val="right"/>
              <w:rPr>
                <w:rFonts w:ascii="Calibri" w:eastAsia="Times New Roman" w:hAnsi="Calibri" w:cs="Calibri"/>
                <w:color w:val="000000"/>
                <w:sz w:val="20"/>
                <w:szCs w:val="20"/>
              </w:rPr>
            </w:pPr>
            <w:r w:rsidRPr="00AD686A">
              <w:rPr>
                <w:rFonts w:ascii="Calibri" w:eastAsia="Times New Roman" w:hAnsi="Calibri" w:cs="Calibri"/>
                <w:color w:val="000000"/>
                <w:sz w:val="20"/>
                <w:szCs w:val="20"/>
              </w:rPr>
              <w:t>7</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8911E6" w14:textId="77777777" w:rsidR="00E1024C" w:rsidRPr="00AD686A" w:rsidRDefault="00E1024C" w:rsidP="00AD686A">
            <w:pPr>
              <w:spacing w:after="0" w:line="240" w:lineRule="auto"/>
              <w:jc w:val="right"/>
              <w:rPr>
                <w:rFonts w:ascii="Calibri" w:eastAsia="Times New Roman" w:hAnsi="Calibri" w:cs="Calibri"/>
                <w:color w:val="000000"/>
                <w:sz w:val="20"/>
                <w:szCs w:val="20"/>
              </w:rPr>
            </w:pPr>
            <w:r w:rsidRPr="00AD686A">
              <w:rPr>
                <w:rFonts w:ascii="Calibri" w:eastAsia="Times New Roman" w:hAnsi="Calibri" w:cs="Calibri"/>
                <w:color w:val="000000"/>
                <w:sz w:val="20"/>
                <w:szCs w:val="20"/>
              </w:rPr>
              <w:t>13</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8070E9" w14:textId="77777777" w:rsidR="00E1024C" w:rsidRPr="00AD686A" w:rsidRDefault="00E1024C" w:rsidP="00AD686A">
            <w:pPr>
              <w:spacing w:after="0" w:line="240" w:lineRule="auto"/>
              <w:jc w:val="right"/>
              <w:rPr>
                <w:rFonts w:ascii="Calibri" w:eastAsia="Times New Roman" w:hAnsi="Calibri" w:cs="Calibri"/>
                <w:color w:val="000000"/>
                <w:sz w:val="20"/>
                <w:szCs w:val="20"/>
              </w:rPr>
            </w:pPr>
            <w:r w:rsidRPr="00AD686A">
              <w:rPr>
                <w:rFonts w:ascii="Calibri" w:eastAsia="Times New Roman" w:hAnsi="Calibri" w:cs="Calibri"/>
                <w:color w:val="000000"/>
                <w:sz w:val="20"/>
                <w:szCs w:val="20"/>
              </w:rPr>
              <w:t>12</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7851A3" w14:textId="77777777" w:rsidR="00E1024C" w:rsidRPr="00AD686A" w:rsidRDefault="00E1024C" w:rsidP="00AD686A">
            <w:pPr>
              <w:spacing w:after="0" w:line="240" w:lineRule="auto"/>
              <w:jc w:val="right"/>
              <w:rPr>
                <w:rFonts w:ascii="Calibri" w:eastAsia="Times New Roman" w:hAnsi="Calibri" w:cs="Calibri"/>
                <w:color w:val="000000"/>
                <w:sz w:val="20"/>
                <w:szCs w:val="20"/>
              </w:rPr>
            </w:pPr>
            <w:r w:rsidRPr="00AD686A">
              <w:rPr>
                <w:rFonts w:ascii="Calibri" w:eastAsia="Times New Roman" w:hAnsi="Calibri" w:cs="Calibri"/>
                <w:color w:val="000000"/>
                <w:sz w:val="20"/>
                <w:szCs w:val="20"/>
              </w:rPr>
              <w:t>10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E0E6DB" w14:textId="77777777" w:rsidR="00E1024C" w:rsidRPr="00AD686A" w:rsidRDefault="00E1024C" w:rsidP="00AD686A">
            <w:pPr>
              <w:spacing w:after="0" w:line="240" w:lineRule="auto"/>
              <w:jc w:val="right"/>
              <w:rPr>
                <w:rFonts w:ascii="Calibri" w:eastAsia="Times New Roman" w:hAnsi="Calibri" w:cs="Calibri"/>
                <w:color w:val="000000"/>
                <w:sz w:val="20"/>
                <w:szCs w:val="20"/>
              </w:rPr>
            </w:pPr>
            <w:r w:rsidRPr="00AD686A">
              <w:rPr>
                <w:rFonts w:ascii="Calibri" w:eastAsia="Times New Roman" w:hAnsi="Calibri" w:cs="Calibri"/>
                <w:color w:val="000000"/>
                <w:sz w:val="20"/>
                <w:szCs w:val="20"/>
              </w:rPr>
              <w:t>11</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053727" w14:textId="77777777" w:rsidR="00E1024C" w:rsidRPr="00AD686A" w:rsidRDefault="00E1024C" w:rsidP="00AD686A">
            <w:pPr>
              <w:spacing w:after="0" w:line="240" w:lineRule="auto"/>
              <w:jc w:val="right"/>
              <w:rPr>
                <w:rFonts w:ascii="Calibri" w:eastAsia="Times New Roman" w:hAnsi="Calibri" w:cs="Calibri"/>
                <w:color w:val="000000"/>
                <w:sz w:val="20"/>
                <w:szCs w:val="20"/>
              </w:rPr>
            </w:pPr>
            <w:r w:rsidRPr="00AD686A">
              <w:rPr>
                <w:rFonts w:ascii="Calibri" w:eastAsia="Times New Roman" w:hAnsi="Calibri" w:cs="Calibri"/>
                <w:color w:val="000000"/>
                <w:sz w:val="20"/>
                <w:szCs w:val="20"/>
              </w:rPr>
              <w:t>11</w:t>
            </w:r>
          </w:p>
        </w:tc>
      </w:tr>
      <w:tr w:rsidR="009554AE" w:rsidRPr="00AD686A" w14:paraId="0EE95E7A" w14:textId="77777777" w:rsidTr="009554AE">
        <w:trPr>
          <w:trHeight w:val="300"/>
        </w:trPr>
        <w:tc>
          <w:tcPr>
            <w:tcW w:w="11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28833E" w14:textId="77777777" w:rsidR="00E1024C" w:rsidRPr="00AD686A" w:rsidRDefault="00E1024C" w:rsidP="00AD686A">
            <w:pPr>
              <w:spacing w:after="0" w:line="240" w:lineRule="auto"/>
              <w:rPr>
                <w:rFonts w:ascii="Calibri" w:eastAsia="Times New Roman" w:hAnsi="Calibri" w:cs="Calibri"/>
                <w:b/>
                <w:bCs/>
                <w:color w:val="000000"/>
                <w:sz w:val="20"/>
                <w:szCs w:val="20"/>
              </w:rPr>
            </w:pPr>
            <w:r w:rsidRPr="00AD686A">
              <w:rPr>
                <w:rFonts w:ascii="Calibri" w:eastAsia="Times New Roman" w:hAnsi="Calibri" w:cs="Calibri"/>
                <w:b/>
                <w:bCs/>
                <w:color w:val="000000"/>
                <w:sz w:val="20"/>
                <w:szCs w:val="20"/>
              </w:rPr>
              <w:t>Earthquake</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96F7E6" w14:textId="77777777" w:rsidR="00E1024C" w:rsidRPr="00AD686A" w:rsidRDefault="00E1024C" w:rsidP="00AD686A">
            <w:pPr>
              <w:spacing w:after="0" w:line="240" w:lineRule="auto"/>
              <w:jc w:val="right"/>
              <w:rPr>
                <w:rFonts w:ascii="Calibri" w:eastAsia="Times New Roman" w:hAnsi="Calibri" w:cs="Calibri"/>
                <w:b/>
                <w:bCs/>
                <w:color w:val="000000"/>
                <w:sz w:val="20"/>
                <w:szCs w:val="20"/>
              </w:rPr>
            </w:pPr>
            <w:r w:rsidRPr="00AD686A">
              <w:rPr>
                <w:rFonts w:ascii="Calibri" w:eastAsia="Times New Roman" w:hAnsi="Calibri" w:cs="Calibri"/>
                <w:b/>
                <w:bCs/>
                <w:color w:val="000000"/>
                <w:sz w:val="20"/>
                <w:szCs w:val="20"/>
              </w:rPr>
              <w:t>13.8</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B1293E" w14:textId="77777777" w:rsidR="00E1024C" w:rsidRPr="00AD686A" w:rsidRDefault="00E1024C" w:rsidP="00AD686A">
            <w:pPr>
              <w:spacing w:after="0" w:line="240" w:lineRule="auto"/>
              <w:jc w:val="right"/>
              <w:rPr>
                <w:rFonts w:ascii="Calibri" w:eastAsia="Times New Roman" w:hAnsi="Calibri" w:cs="Calibri"/>
                <w:b/>
                <w:bCs/>
                <w:color w:val="000000"/>
                <w:sz w:val="20"/>
                <w:szCs w:val="20"/>
              </w:rPr>
            </w:pPr>
            <w:r w:rsidRPr="00AD686A">
              <w:rPr>
                <w:rFonts w:ascii="Calibri" w:eastAsia="Times New Roman" w:hAnsi="Calibri" w:cs="Calibri"/>
                <w:b/>
                <w:bCs/>
                <w:color w:val="000000"/>
                <w:sz w:val="20"/>
                <w:szCs w:val="20"/>
              </w:rPr>
              <w:t>-0.7</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87FE93" w14:textId="77777777" w:rsidR="00E1024C" w:rsidRPr="00AD686A" w:rsidRDefault="00E1024C" w:rsidP="00AD686A">
            <w:pPr>
              <w:spacing w:after="0" w:line="240" w:lineRule="auto"/>
              <w:jc w:val="right"/>
              <w:rPr>
                <w:rFonts w:ascii="Calibri" w:eastAsia="Times New Roman" w:hAnsi="Calibri" w:cs="Calibri"/>
                <w:color w:val="000000"/>
                <w:sz w:val="20"/>
                <w:szCs w:val="20"/>
              </w:rPr>
            </w:pPr>
            <w:r w:rsidRPr="00AD686A">
              <w:rPr>
                <w:rFonts w:ascii="Calibri" w:eastAsia="Times New Roman" w:hAnsi="Calibri" w:cs="Calibri"/>
                <w:color w:val="000000"/>
                <w:sz w:val="20"/>
                <w:szCs w:val="20"/>
              </w:rPr>
              <w:t>14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3E1915" w14:textId="77777777" w:rsidR="00E1024C" w:rsidRPr="00AD686A" w:rsidRDefault="00E1024C" w:rsidP="00AD686A">
            <w:pPr>
              <w:spacing w:after="0" w:line="240" w:lineRule="auto"/>
              <w:jc w:val="right"/>
              <w:rPr>
                <w:rFonts w:ascii="Calibri" w:eastAsia="Times New Roman" w:hAnsi="Calibri" w:cs="Calibri"/>
                <w:color w:val="000000"/>
                <w:sz w:val="20"/>
                <w:szCs w:val="20"/>
              </w:rPr>
            </w:pPr>
            <w:r w:rsidRPr="00AD686A">
              <w:rPr>
                <w:rFonts w:ascii="Calibri" w:eastAsia="Times New Roman" w:hAnsi="Calibri" w:cs="Calibri"/>
                <w:color w:val="000000"/>
                <w:sz w:val="20"/>
                <w:szCs w:val="20"/>
              </w:rPr>
              <w:t>13</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54FFA3" w14:textId="77777777" w:rsidR="00E1024C" w:rsidRPr="00AD686A" w:rsidRDefault="00E1024C" w:rsidP="00AD686A">
            <w:pPr>
              <w:spacing w:after="0" w:line="240" w:lineRule="auto"/>
              <w:jc w:val="right"/>
              <w:rPr>
                <w:rFonts w:ascii="Calibri" w:eastAsia="Times New Roman" w:hAnsi="Calibri" w:cs="Calibri"/>
                <w:color w:val="000000"/>
                <w:sz w:val="20"/>
                <w:szCs w:val="20"/>
              </w:rPr>
            </w:pPr>
            <w:r w:rsidRPr="00AD686A">
              <w:rPr>
                <w:rFonts w:ascii="Calibri" w:eastAsia="Times New Roman" w:hAnsi="Calibri" w:cs="Calibri"/>
                <w:color w:val="000000"/>
                <w:sz w:val="20"/>
                <w:szCs w:val="20"/>
              </w:rPr>
              <w:t>14</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DFF538" w14:textId="77777777" w:rsidR="00E1024C" w:rsidRPr="00AD686A" w:rsidRDefault="00E1024C" w:rsidP="00AD686A">
            <w:pPr>
              <w:spacing w:after="0" w:line="240" w:lineRule="auto"/>
              <w:jc w:val="right"/>
              <w:rPr>
                <w:rFonts w:ascii="Calibri" w:eastAsia="Times New Roman" w:hAnsi="Calibri" w:cs="Calibri"/>
                <w:color w:val="000000"/>
                <w:sz w:val="20"/>
                <w:szCs w:val="20"/>
              </w:rPr>
            </w:pPr>
            <w:r w:rsidRPr="00AD686A">
              <w:rPr>
                <w:rFonts w:ascii="Calibri" w:eastAsia="Times New Roman" w:hAnsi="Calibri" w:cs="Calibri"/>
                <w:color w:val="000000"/>
                <w:sz w:val="20"/>
                <w:szCs w:val="20"/>
              </w:rPr>
              <w:t>14</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CF397D" w14:textId="77777777" w:rsidR="00E1024C" w:rsidRPr="00AD686A" w:rsidRDefault="00E1024C" w:rsidP="00AD686A">
            <w:pPr>
              <w:spacing w:after="0" w:line="240" w:lineRule="auto"/>
              <w:jc w:val="right"/>
              <w:rPr>
                <w:rFonts w:ascii="Calibri" w:eastAsia="Times New Roman" w:hAnsi="Calibri" w:cs="Calibri"/>
                <w:color w:val="000000"/>
                <w:sz w:val="20"/>
                <w:szCs w:val="20"/>
              </w:rPr>
            </w:pPr>
            <w:r w:rsidRPr="00AD686A">
              <w:rPr>
                <w:rFonts w:ascii="Calibri" w:eastAsia="Times New Roman" w:hAnsi="Calibri" w:cs="Calibri"/>
                <w:color w:val="000000"/>
                <w:sz w:val="20"/>
                <w:szCs w:val="20"/>
              </w:rPr>
              <w:t>14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DD4992" w14:textId="77777777" w:rsidR="00E1024C" w:rsidRPr="00AD686A" w:rsidRDefault="00E1024C" w:rsidP="00AD686A">
            <w:pPr>
              <w:spacing w:after="0" w:line="240" w:lineRule="auto"/>
              <w:jc w:val="right"/>
              <w:rPr>
                <w:rFonts w:ascii="Calibri" w:eastAsia="Times New Roman" w:hAnsi="Calibri" w:cs="Calibri"/>
                <w:color w:val="000000"/>
                <w:sz w:val="20"/>
                <w:szCs w:val="20"/>
              </w:rPr>
            </w:pPr>
            <w:r w:rsidRPr="00AD686A">
              <w:rPr>
                <w:rFonts w:ascii="Calibri" w:eastAsia="Times New Roman" w:hAnsi="Calibri" w:cs="Calibri"/>
                <w:color w:val="000000"/>
                <w:sz w:val="20"/>
                <w:szCs w:val="20"/>
              </w:rPr>
              <w:t>14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5C6C17" w14:textId="77777777" w:rsidR="00E1024C" w:rsidRPr="00AD686A" w:rsidRDefault="00E1024C" w:rsidP="00AD686A">
            <w:pPr>
              <w:spacing w:after="0" w:line="240" w:lineRule="auto"/>
              <w:jc w:val="right"/>
              <w:rPr>
                <w:rFonts w:ascii="Calibri" w:eastAsia="Times New Roman" w:hAnsi="Calibri" w:cs="Calibri"/>
                <w:color w:val="000000"/>
                <w:sz w:val="20"/>
                <w:szCs w:val="20"/>
              </w:rPr>
            </w:pPr>
            <w:r w:rsidRPr="00AD686A">
              <w:rPr>
                <w:rFonts w:ascii="Calibri" w:eastAsia="Times New Roman" w:hAnsi="Calibri" w:cs="Calibri"/>
                <w:color w:val="000000"/>
                <w:sz w:val="20"/>
                <w:szCs w:val="20"/>
              </w:rPr>
              <w:t>14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AB602E" w14:textId="77777777" w:rsidR="00E1024C" w:rsidRPr="00AD686A" w:rsidRDefault="00E1024C" w:rsidP="00AD686A">
            <w:pPr>
              <w:spacing w:after="0" w:line="240" w:lineRule="auto"/>
              <w:jc w:val="right"/>
              <w:rPr>
                <w:rFonts w:ascii="Calibri" w:eastAsia="Times New Roman" w:hAnsi="Calibri" w:cs="Calibri"/>
                <w:color w:val="000000"/>
                <w:sz w:val="20"/>
                <w:szCs w:val="20"/>
              </w:rPr>
            </w:pPr>
            <w:r w:rsidRPr="00AD686A">
              <w:rPr>
                <w:rFonts w:ascii="Calibri" w:eastAsia="Times New Roman" w:hAnsi="Calibri" w:cs="Calibri"/>
                <w:color w:val="000000"/>
                <w:sz w:val="20"/>
                <w:szCs w:val="20"/>
              </w:rPr>
              <w:t>13</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95BCE6" w14:textId="77777777" w:rsidR="00E1024C" w:rsidRPr="00AD686A" w:rsidRDefault="00E1024C" w:rsidP="00AD686A">
            <w:pPr>
              <w:spacing w:after="0" w:line="240" w:lineRule="auto"/>
              <w:jc w:val="right"/>
              <w:rPr>
                <w:rFonts w:ascii="Calibri" w:eastAsia="Times New Roman" w:hAnsi="Calibri" w:cs="Calibri"/>
                <w:color w:val="000000"/>
                <w:sz w:val="20"/>
                <w:szCs w:val="20"/>
              </w:rPr>
            </w:pPr>
            <w:r w:rsidRPr="00AD686A">
              <w:rPr>
                <w:rFonts w:ascii="Calibri" w:eastAsia="Times New Roman" w:hAnsi="Calibri" w:cs="Calibri"/>
                <w:color w:val="000000"/>
                <w:sz w:val="20"/>
                <w:szCs w:val="20"/>
              </w:rPr>
              <w:t>14</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7C8484" w14:textId="77777777" w:rsidR="00E1024C" w:rsidRPr="00AD686A" w:rsidRDefault="00E1024C" w:rsidP="00AD686A">
            <w:pPr>
              <w:spacing w:after="0" w:line="240" w:lineRule="auto"/>
              <w:jc w:val="right"/>
              <w:rPr>
                <w:rFonts w:ascii="Calibri" w:eastAsia="Times New Roman" w:hAnsi="Calibri" w:cs="Calibri"/>
                <w:color w:val="000000"/>
                <w:sz w:val="20"/>
                <w:szCs w:val="20"/>
              </w:rPr>
            </w:pPr>
            <w:r w:rsidRPr="00AD686A">
              <w:rPr>
                <w:rFonts w:ascii="Calibri" w:eastAsia="Times New Roman" w:hAnsi="Calibri" w:cs="Calibri"/>
                <w:color w:val="000000"/>
                <w:sz w:val="20"/>
                <w:szCs w:val="20"/>
              </w:rPr>
              <w:t>14</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F4A84C" w14:textId="77777777" w:rsidR="00E1024C" w:rsidRPr="00AD686A" w:rsidRDefault="00E1024C" w:rsidP="00AD686A">
            <w:pPr>
              <w:spacing w:after="0" w:line="240" w:lineRule="auto"/>
              <w:jc w:val="right"/>
              <w:rPr>
                <w:rFonts w:ascii="Calibri" w:eastAsia="Times New Roman" w:hAnsi="Calibri" w:cs="Calibri"/>
                <w:color w:val="000000"/>
                <w:sz w:val="20"/>
                <w:szCs w:val="20"/>
              </w:rPr>
            </w:pPr>
            <w:r w:rsidRPr="00AD686A">
              <w:rPr>
                <w:rFonts w:ascii="Calibri" w:eastAsia="Times New Roman" w:hAnsi="Calibri" w:cs="Calibri"/>
                <w:color w:val="000000"/>
                <w:sz w:val="20"/>
                <w:szCs w:val="20"/>
              </w:rPr>
              <w:t>14</w:t>
            </w:r>
          </w:p>
        </w:tc>
      </w:tr>
    </w:tbl>
    <w:p w14:paraId="3ECA08FC" w14:textId="77777777" w:rsidR="00BA2D76" w:rsidRDefault="00BA2D76" w:rsidP="00BA2D76">
      <w:pPr>
        <w:pStyle w:val="BasicParagraph"/>
        <w:rPr>
          <w:sz w:val="22"/>
          <w:szCs w:val="22"/>
        </w:rPr>
      </w:pPr>
    </w:p>
    <w:p w14:paraId="3ECA09D1" w14:textId="77777777" w:rsidR="00983ECD" w:rsidRDefault="00983ECD" w:rsidP="00BA2D76">
      <w:pPr>
        <w:pStyle w:val="BasicParagraph"/>
        <w:rPr>
          <w:sz w:val="22"/>
          <w:szCs w:val="22"/>
        </w:rPr>
      </w:pPr>
    </w:p>
    <w:p w14:paraId="22EB2E63" w14:textId="0F061608" w:rsidR="00F85A3A" w:rsidRDefault="00A2249C" w:rsidP="00F85A3A">
      <w:pPr>
        <w:pStyle w:val="BasicParagraph"/>
        <w:rPr>
          <w:sz w:val="22"/>
          <w:szCs w:val="22"/>
        </w:rPr>
      </w:pPr>
      <w:r>
        <w:rPr>
          <w:sz w:val="22"/>
          <w:szCs w:val="22"/>
        </w:rPr>
        <w:t xml:space="preserve">In June of 2023 </w:t>
      </w:r>
      <w:r w:rsidR="4CD4EBCB" w:rsidRPr="4CD4EBCB">
        <w:rPr>
          <w:sz w:val="22"/>
          <w:szCs w:val="22"/>
        </w:rPr>
        <w:t>17</w:t>
      </w:r>
      <w:r w:rsidR="00EE0B1D">
        <w:rPr>
          <w:sz w:val="22"/>
          <w:szCs w:val="22"/>
        </w:rPr>
        <w:t>7</w:t>
      </w:r>
      <w:r w:rsidR="4CD4EBCB" w:rsidRPr="4CD4EBCB">
        <w:rPr>
          <w:sz w:val="22"/>
          <w:szCs w:val="22"/>
        </w:rPr>
        <w:t xml:space="preserve"> of the 281 jurisdictions in Vermont had FEMA-approved Local Hazard Mitigation Plans (6</w:t>
      </w:r>
      <w:r w:rsidR="000A6FE8">
        <w:rPr>
          <w:sz w:val="22"/>
          <w:szCs w:val="22"/>
        </w:rPr>
        <w:t>3</w:t>
      </w:r>
      <w:r w:rsidR="4CD4EBCB" w:rsidRPr="4CD4EBCB">
        <w:rPr>
          <w:sz w:val="22"/>
          <w:szCs w:val="22"/>
        </w:rPr>
        <w:t>%). In a review of these approved plans, VEM mitigation staff identified natural hazards that were addressed by more than 10 individual jurisdictions (</w:t>
      </w:r>
      <w:r w:rsidR="4CD4EBCB" w:rsidRPr="00E4791A">
        <w:rPr>
          <w:sz w:val="22"/>
          <w:szCs w:val="22"/>
          <w:highlight w:val="yellow"/>
        </w:rPr>
        <w:t>Table 21</w:t>
      </w:r>
      <w:r w:rsidR="4CD4EBCB" w:rsidRPr="4CD4EBCB">
        <w:rPr>
          <w:sz w:val="22"/>
          <w:szCs w:val="22"/>
        </w:rPr>
        <w:t xml:space="preserve">). The analysis confirms that the most significant concerns at the State level are consistent with reality at the regional and local levels, with Flooding, </w:t>
      </w:r>
      <w:r w:rsidR="00743C6C" w:rsidRPr="4CD4EBCB">
        <w:rPr>
          <w:sz w:val="22"/>
          <w:szCs w:val="22"/>
        </w:rPr>
        <w:t>Fluvial Erosion and Ice Storm</w:t>
      </w:r>
      <w:r w:rsidR="00743C6C">
        <w:rPr>
          <w:sz w:val="22"/>
          <w:szCs w:val="22"/>
        </w:rPr>
        <w:t xml:space="preserve"> and</w:t>
      </w:r>
      <w:r w:rsidR="00743C6C" w:rsidRPr="4CD4EBCB">
        <w:rPr>
          <w:sz w:val="22"/>
          <w:szCs w:val="22"/>
        </w:rPr>
        <w:t xml:space="preserve"> </w:t>
      </w:r>
      <w:r w:rsidR="4CD4EBCB" w:rsidRPr="4CD4EBCB">
        <w:rPr>
          <w:sz w:val="22"/>
          <w:szCs w:val="22"/>
        </w:rPr>
        <w:t xml:space="preserve">Winter Storms and ranking as the most significant hazards. </w:t>
      </w:r>
      <w:r w:rsidR="00743C6C">
        <w:rPr>
          <w:sz w:val="22"/>
          <w:szCs w:val="22"/>
        </w:rPr>
        <w:t xml:space="preserve">Extreme Heat was not included in a minimum of 10 LHMPs in </w:t>
      </w:r>
      <w:proofErr w:type="gramStart"/>
      <w:r w:rsidR="00743C6C">
        <w:rPr>
          <w:sz w:val="22"/>
          <w:szCs w:val="22"/>
        </w:rPr>
        <w:t>2017, and</w:t>
      </w:r>
      <w:proofErr w:type="gramEnd"/>
      <w:r w:rsidR="00743C6C">
        <w:rPr>
          <w:sz w:val="22"/>
          <w:szCs w:val="22"/>
        </w:rPr>
        <w:t xml:space="preserve"> </w:t>
      </w:r>
      <w:r w:rsidR="005D62BD">
        <w:rPr>
          <w:sz w:val="22"/>
          <w:szCs w:val="22"/>
        </w:rPr>
        <w:t xml:space="preserve">has since been included in 36 plans across Vermont. </w:t>
      </w:r>
    </w:p>
    <w:p w14:paraId="4E4CE9F8" w14:textId="77777777" w:rsidR="00E4791A" w:rsidRPr="00BA2D76" w:rsidRDefault="00E4791A" w:rsidP="00F85A3A">
      <w:pPr>
        <w:pStyle w:val="BasicParagraph"/>
        <w:rPr>
          <w:sz w:val="22"/>
          <w:szCs w:val="22"/>
        </w:rPr>
      </w:pPr>
    </w:p>
    <w:p w14:paraId="335F565F" w14:textId="613FBE60" w:rsidR="00F85A3A" w:rsidRPr="00BA2D76" w:rsidRDefault="00E4791A" w:rsidP="00F85A3A">
      <w:pPr>
        <w:pStyle w:val="BasicParagraph"/>
        <w:rPr>
          <w:sz w:val="22"/>
          <w:szCs w:val="22"/>
        </w:rPr>
      </w:pPr>
      <w:r>
        <w:rPr>
          <w:sz w:val="22"/>
          <w:szCs w:val="22"/>
        </w:rPr>
        <w:t xml:space="preserve">Table </w:t>
      </w:r>
      <w:r w:rsidRPr="0065588E">
        <w:rPr>
          <w:sz w:val="22"/>
          <w:szCs w:val="22"/>
          <w:highlight w:val="yellow"/>
        </w:rPr>
        <w:t>21</w:t>
      </w:r>
      <w:r w:rsidR="00340911">
        <w:rPr>
          <w:sz w:val="22"/>
          <w:szCs w:val="22"/>
        </w:rPr>
        <w:t xml:space="preserve">: </w:t>
      </w:r>
      <w:r w:rsidR="00CA3330">
        <w:rPr>
          <w:sz w:val="22"/>
          <w:szCs w:val="22"/>
        </w:rPr>
        <w:t>Hazards Prioritized in Approved LHMPs</w:t>
      </w:r>
    </w:p>
    <w:tbl>
      <w:tblPr>
        <w:tblW w:w="6600" w:type="dxa"/>
        <w:tblLook w:val="04A0" w:firstRow="1" w:lastRow="0" w:firstColumn="1" w:lastColumn="0" w:noHBand="0" w:noVBand="1"/>
      </w:tblPr>
      <w:tblGrid>
        <w:gridCol w:w="2140"/>
        <w:gridCol w:w="1720"/>
        <w:gridCol w:w="2740"/>
      </w:tblGrid>
      <w:tr w:rsidR="007B034D" w:rsidRPr="007B034D" w14:paraId="74C63458" w14:textId="77777777" w:rsidTr="007B034D">
        <w:trPr>
          <w:trHeight w:val="288"/>
        </w:trPr>
        <w:tc>
          <w:tcPr>
            <w:tcW w:w="21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7F4C10D" w14:textId="77777777" w:rsidR="007B034D" w:rsidRPr="007B034D" w:rsidRDefault="007B034D" w:rsidP="007B034D">
            <w:pPr>
              <w:spacing w:after="0" w:line="240" w:lineRule="auto"/>
              <w:rPr>
                <w:rFonts w:ascii="Calibri" w:eastAsia="Times New Roman" w:hAnsi="Calibri" w:cs="Calibri"/>
                <w:b/>
                <w:bCs/>
                <w:color w:val="FFC000"/>
              </w:rPr>
            </w:pPr>
            <w:r w:rsidRPr="007B034D">
              <w:rPr>
                <w:rFonts w:ascii="Calibri" w:eastAsia="Times New Roman" w:hAnsi="Calibri" w:cs="Calibri"/>
                <w:b/>
                <w:bCs/>
                <w:color w:val="FFC000"/>
              </w:rPr>
              <w:t>Hazard</w:t>
            </w:r>
          </w:p>
        </w:tc>
        <w:tc>
          <w:tcPr>
            <w:tcW w:w="1720" w:type="dxa"/>
            <w:tcBorders>
              <w:top w:val="single" w:sz="4" w:space="0" w:color="000000"/>
              <w:left w:val="nil"/>
              <w:bottom w:val="single" w:sz="4" w:space="0" w:color="000000"/>
              <w:right w:val="single" w:sz="4" w:space="0" w:color="000000"/>
            </w:tcBorders>
            <w:shd w:val="clear" w:color="auto" w:fill="auto"/>
            <w:noWrap/>
            <w:vAlign w:val="bottom"/>
            <w:hideMark/>
          </w:tcPr>
          <w:p w14:paraId="339F0D9A" w14:textId="77777777" w:rsidR="007B034D" w:rsidRPr="007B034D" w:rsidRDefault="007B034D" w:rsidP="007B034D">
            <w:pPr>
              <w:spacing w:after="0" w:line="240" w:lineRule="auto"/>
              <w:rPr>
                <w:rFonts w:ascii="Calibri" w:eastAsia="Times New Roman" w:hAnsi="Calibri" w:cs="Calibri"/>
                <w:b/>
                <w:bCs/>
                <w:color w:val="000000"/>
              </w:rPr>
            </w:pPr>
            <w:r w:rsidRPr="007B034D">
              <w:rPr>
                <w:rFonts w:ascii="Calibri" w:eastAsia="Times New Roman" w:hAnsi="Calibri" w:cs="Calibri"/>
                <w:b/>
                <w:bCs/>
                <w:color w:val="000000"/>
              </w:rPr>
              <w:t>Approved LHMPs</w:t>
            </w:r>
          </w:p>
        </w:tc>
        <w:tc>
          <w:tcPr>
            <w:tcW w:w="2740" w:type="dxa"/>
            <w:tcBorders>
              <w:top w:val="single" w:sz="4" w:space="0" w:color="000000"/>
              <w:left w:val="nil"/>
              <w:bottom w:val="single" w:sz="4" w:space="0" w:color="000000"/>
              <w:right w:val="single" w:sz="4" w:space="0" w:color="000000"/>
            </w:tcBorders>
            <w:shd w:val="clear" w:color="auto" w:fill="auto"/>
            <w:noWrap/>
            <w:vAlign w:val="bottom"/>
            <w:hideMark/>
          </w:tcPr>
          <w:p w14:paraId="77D9ACC7" w14:textId="77777777" w:rsidR="007B034D" w:rsidRPr="007B034D" w:rsidRDefault="007B034D" w:rsidP="007B034D">
            <w:pPr>
              <w:spacing w:after="0" w:line="240" w:lineRule="auto"/>
              <w:rPr>
                <w:rFonts w:ascii="Calibri" w:eastAsia="Times New Roman" w:hAnsi="Calibri" w:cs="Calibri"/>
                <w:b/>
                <w:bCs/>
                <w:color w:val="000000"/>
              </w:rPr>
            </w:pPr>
            <w:r w:rsidRPr="007B034D">
              <w:rPr>
                <w:rFonts w:ascii="Calibri" w:eastAsia="Times New Roman" w:hAnsi="Calibri" w:cs="Calibri"/>
                <w:b/>
                <w:bCs/>
                <w:color w:val="000000"/>
              </w:rPr>
              <w:t>Percent of Approved LHMPs</w:t>
            </w:r>
          </w:p>
        </w:tc>
      </w:tr>
      <w:tr w:rsidR="007B034D" w:rsidRPr="007B034D" w14:paraId="22CBCBC5" w14:textId="77777777" w:rsidTr="007B034D">
        <w:trPr>
          <w:trHeight w:val="288"/>
        </w:trPr>
        <w:tc>
          <w:tcPr>
            <w:tcW w:w="2140" w:type="dxa"/>
            <w:tcBorders>
              <w:top w:val="nil"/>
              <w:left w:val="single" w:sz="4" w:space="0" w:color="000000"/>
              <w:bottom w:val="single" w:sz="4" w:space="0" w:color="000000"/>
              <w:right w:val="single" w:sz="4" w:space="0" w:color="000000"/>
            </w:tcBorders>
            <w:shd w:val="clear" w:color="000000" w:fill="E4DFEC"/>
            <w:vAlign w:val="center"/>
            <w:hideMark/>
          </w:tcPr>
          <w:p w14:paraId="72D2FD17" w14:textId="77777777" w:rsidR="007B034D" w:rsidRPr="007B034D" w:rsidRDefault="007B034D" w:rsidP="007B034D">
            <w:pPr>
              <w:spacing w:after="0" w:line="240" w:lineRule="auto"/>
              <w:rPr>
                <w:rFonts w:ascii="Calibri" w:eastAsia="Times New Roman" w:hAnsi="Calibri" w:cs="Calibri"/>
                <w:b/>
                <w:bCs/>
                <w:color w:val="000000"/>
              </w:rPr>
            </w:pPr>
            <w:r w:rsidRPr="007B034D">
              <w:rPr>
                <w:rFonts w:ascii="Calibri" w:eastAsia="Times New Roman" w:hAnsi="Calibri" w:cs="Calibri"/>
                <w:b/>
                <w:bCs/>
                <w:color w:val="000000"/>
              </w:rPr>
              <w:t>Flooding</w:t>
            </w:r>
          </w:p>
        </w:tc>
        <w:tc>
          <w:tcPr>
            <w:tcW w:w="1720" w:type="dxa"/>
            <w:tcBorders>
              <w:top w:val="nil"/>
              <w:left w:val="nil"/>
              <w:bottom w:val="single" w:sz="4" w:space="0" w:color="000000"/>
              <w:right w:val="single" w:sz="4" w:space="0" w:color="000000"/>
            </w:tcBorders>
            <w:shd w:val="clear" w:color="auto" w:fill="auto"/>
            <w:noWrap/>
            <w:vAlign w:val="bottom"/>
            <w:hideMark/>
          </w:tcPr>
          <w:p w14:paraId="23445591" w14:textId="756F17CF" w:rsidR="007B034D" w:rsidRPr="007B034D" w:rsidRDefault="007B034D" w:rsidP="007B034D">
            <w:pPr>
              <w:spacing w:after="0" w:line="240" w:lineRule="auto"/>
              <w:jc w:val="right"/>
              <w:rPr>
                <w:rFonts w:ascii="Calibri" w:eastAsia="Times New Roman" w:hAnsi="Calibri" w:cs="Calibri"/>
                <w:color w:val="000000"/>
              </w:rPr>
            </w:pPr>
            <w:r w:rsidRPr="007B034D">
              <w:rPr>
                <w:rFonts w:ascii="Calibri" w:eastAsia="Times New Roman" w:hAnsi="Calibri" w:cs="Calibri"/>
                <w:color w:val="000000"/>
              </w:rPr>
              <w:t>134</w:t>
            </w:r>
            <w:r w:rsidR="00C764B6">
              <w:rPr>
                <w:rFonts w:ascii="Calibri" w:eastAsia="Times New Roman" w:hAnsi="Calibri" w:cs="Calibri"/>
                <w:color w:val="000000"/>
              </w:rPr>
              <w:t>*</w:t>
            </w:r>
          </w:p>
        </w:tc>
        <w:tc>
          <w:tcPr>
            <w:tcW w:w="2740" w:type="dxa"/>
            <w:tcBorders>
              <w:top w:val="nil"/>
              <w:left w:val="nil"/>
              <w:bottom w:val="single" w:sz="4" w:space="0" w:color="000000"/>
              <w:right w:val="single" w:sz="4" w:space="0" w:color="000000"/>
            </w:tcBorders>
            <w:shd w:val="clear" w:color="auto" w:fill="auto"/>
            <w:noWrap/>
            <w:vAlign w:val="bottom"/>
            <w:hideMark/>
          </w:tcPr>
          <w:p w14:paraId="0F93590C" w14:textId="77777777" w:rsidR="007B034D" w:rsidRPr="007B034D" w:rsidRDefault="007B034D" w:rsidP="007B034D">
            <w:pPr>
              <w:spacing w:after="0" w:line="240" w:lineRule="auto"/>
              <w:jc w:val="right"/>
              <w:rPr>
                <w:rFonts w:ascii="Calibri" w:eastAsia="Times New Roman" w:hAnsi="Calibri" w:cs="Calibri"/>
                <w:color w:val="000000"/>
              </w:rPr>
            </w:pPr>
            <w:r w:rsidRPr="007B034D">
              <w:rPr>
                <w:rFonts w:ascii="Calibri" w:eastAsia="Times New Roman" w:hAnsi="Calibri" w:cs="Calibri"/>
                <w:color w:val="000000"/>
              </w:rPr>
              <w:t>100.0%</w:t>
            </w:r>
          </w:p>
        </w:tc>
      </w:tr>
      <w:tr w:rsidR="007B034D" w:rsidRPr="007B034D" w14:paraId="7F195FD5" w14:textId="77777777" w:rsidTr="007B034D">
        <w:trPr>
          <w:trHeight w:val="288"/>
        </w:trPr>
        <w:tc>
          <w:tcPr>
            <w:tcW w:w="2140" w:type="dxa"/>
            <w:tcBorders>
              <w:top w:val="nil"/>
              <w:left w:val="single" w:sz="4" w:space="0" w:color="000000"/>
              <w:bottom w:val="single" w:sz="4" w:space="0" w:color="000000"/>
              <w:right w:val="single" w:sz="4" w:space="0" w:color="000000"/>
            </w:tcBorders>
            <w:shd w:val="clear" w:color="000000" w:fill="E4DFEC"/>
            <w:vAlign w:val="center"/>
            <w:hideMark/>
          </w:tcPr>
          <w:p w14:paraId="7F55170F" w14:textId="77777777" w:rsidR="007B034D" w:rsidRPr="007B034D" w:rsidRDefault="007B034D" w:rsidP="007B034D">
            <w:pPr>
              <w:spacing w:after="0" w:line="240" w:lineRule="auto"/>
              <w:rPr>
                <w:rFonts w:ascii="Calibri" w:eastAsia="Times New Roman" w:hAnsi="Calibri" w:cs="Calibri"/>
                <w:b/>
                <w:bCs/>
                <w:color w:val="000000"/>
              </w:rPr>
            </w:pPr>
            <w:r w:rsidRPr="007B034D">
              <w:rPr>
                <w:rFonts w:ascii="Calibri" w:eastAsia="Times New Roman" w:hAnsi="Calibri" w:cs="Calibri"/>
                <w:b/>
                <w:bCs/>
                <w:color w:val="000000"/>
              </w:rPr>
              <w:t>Fluvial Erosion</w:t>
            </w:r>
          </w:p>
        </w:tc>
        <w:tc>
          <w:tcPr>
            <w:tcW w:w="1720" w:type="dxa"/>
            <w:tcBorders>
              <w:top w:val="nil"/>
              <w:left w:val="nil"/>
              <w:bottom w:val="single" w:sz="4" w:space="0" w:color="000000"/>
              <w:right w:val="single" w:sz="4" w:space="0" w:color="000000"/>
            </w:tcBorders>
            <w:shd w:val="clear" w:color="auto" w:fill="auto"/>
            <w:noWrap/>
            <w:vAlign w:val="bottom"/>
            <w:hideMark/>
          </w:tcPr>
          <w:p w14:paraId="7E629A20" w14:textId="77777777" w:rsidR="007B034D" w:rsidRPr="007B034D" w:rsidRDefault="007B034D" w:rsidP="007B034D">
            <w:pPr>
              <w:spacing w:after="0" w:line="240" w:lineRule="auto"/>
              <w:jc w:val="right"/>
              <w:rPr>
                <w:rFonts w:ascii="Calibri" w:eastAsia="Times New Roman" w:hAnsi="Calibri" w:cs="Calibri"/>
                <w:color w:val="000000"/>
              </w:rPr>
            </w:pPr>
            <w:r w:rsidRPr="007B034D">
              <w:rPr>
                <w:rFonts w:ascii="Calibri" w:eastAsia="Times New Roman" w:hAnsi="Calibri" w:cs="Calibri"/>
                <w:color w:val="000000"/>
              </w:rPr>
              <w:t>125</w:t>
            </w:r>
          </w:p>
        </w:tc>
        <w:tc>
          <w:tcPr>
            <w:tcW w:w="2740" w:type="dxa"/>
            <w:tcBorders>
              <w:top w:val="nil"/>
              <w:left w:val="nil"/>
              <w:bottom w:val="single" w:sz="4" w:space="0" w:color="000000"/>
              <w:right w:val="single" w:sz="4" w:space="0" w:color="000000"/>
            </w:tcBorders>
            <w:shd w:val="clear" w:color="auto" w:fill="auto"/>
            <w:noWrap/>
            <w:vAlign w:val="bottom"/>
            <w:hideMark/>
          </w:tcPr>
          <w:p w14:paraId="27BFAB3F" w14:textId="77777777" w:rsidR="007B034D" w:rsidRPr="007B034D" w:rsidRDefault="007B034D" w:rsidP="007B034D">
            <w:pPr>
              <w:spacing w:after="0" w:line="240" w:lineRule="auto"/>
              <w:jc w:val="right"/>
              <w:rPr>
                <w:rFonts w:ascii="Calibri" w:eastAsia="Times New Roman" w:hAnsi="Calibri" w:cs="Calibri"/>
                <w:color w:val="000000"/>
              </w:rPr>
            </w:pPr>
            <w:r w:rsidRPr="007B034D">
              <w:rPr>
                <w:rFonts w:ascii="Calibri" w:eastAsia="Times New Roman" w:hAnsi="Calibri" w:cs="Calibri"/>
                <w:color w:val="000000"/>
              </w:rPr>
              <w:t>93.3%</w:t>
            </w:r>
          </w:p>
        </w:tc>
      </w:tr>
      <w:tr w:rsidR="007B034D" w:rsidRPr="007B034D" w14:paraId="137B3CA0" w14:textId="77777777" w:rsidTr="007B034D">
        <w:trPr>
          <w:trHeight w:val="288"/>
        </w:trPr>
        <w:tc>
          <w:tcPr>
            <w:tcW w:w="2140" w:type="dxa"/>
            <w:tcBorders>
              <w:top w:val="nil"/>
              <w:left w:val="single" w:sz="4" w:space="0" w:color="000000"/>
              <w:bottom w:val="single" w:sz="4" w:space="0" w:color="000000"/>
              <w:right w:val="single" w:sz="4" w:space="0" w:color="000000"/>
            </w:tcBorders>
            <w:shd w:val="clear" w:color="000000" w:fill="E4DFEC"/>
            <w:vAlign w:val="center"/>
            <w:hideMark/>
          </w:tcPr>
          <w:p w14:paraId="0B7E6751" w14:textId="77777777" w:rsidR="007B034D" w:rsidRPr="007B034D" w:rsidRDefault="007B034D" w:rsidP="007B034D">
            <w:pPr>
              <w:spacing w:after="0" w:line="240" w:lineRule="auto"/>
              <w:rPr>
                <w:rFonts w:ascii="Calibri" w:eastAsia="Times New Roman" w:hAnsi="Calibri" w:cs="Calibri"/>
                <w:b/>
                <w:bCs/>
                <w:color w:val="000000"/>
              </w:rPr>
            </w:pPr>
            <w:r w:rsidRPr="007B034D">
              <w:rPr>
                <w:rFonts w:ascii="Calibri" w:eastAsia="Times New Roman" w:hAnsi="Calibri" w:cs="Calibri"/>
                <w:b/>
                <w:bCs/>
                <w:color w:val="000000"/>
              </w:rPr>
              <w:t>Winter Storms</w:t>
            </w:r>
          </w:p>
        </w:tc>
        <w:tc>
          <w:tcPr>
            <w:tcW w:w="1720" w:type="dxa"/>
            <w:tcBorders>
              <w:top w:val="nil"/>
              <w:left w:val="nil"/>
              <w:bottom w:val="single" w:sz="4" w:space="0" w:color="000000"/>
              <w:right w:val="single" w:sz="4" w:space="0" w:color="000000"/>
            </w:tcBorders>
            <w:shd w:val="clear" w:color="auto" w:fill="auto"/>
            <w:noWrap/>
            <w:vAlign w:val="bottom"/>
            <w:hideMark/>
          </w:tcPr>
          <w:p w14:paraId="0B4E4880" w14:textId="77777777" w:rsidR="007B034D" w:rsidRPr="007B034D" w:rsidRDefault="007B034D" w:rsidP="007B034D">
            <w:pPr>
              <w:spacing w:after="0" w:line="240" w:lineRule="auto"/>
              <w:jc w:val="right"/>
              <w:rPr>
                <w:rFonts w:ascii="Calibri" w:eastAsia="Times New Roman" w:hAnsi="Calibri" w:cs="Calibri"/>
                <w:color w:val="000000"/>
              </w:rPr>
            </w:pPr>
            <w:r w:rsidRPr="007B034D">
              <w:rPr>
                <w:rFonts w:ascii="Calibri" w:eastAsia="Times New Roman" w:hAnsi="Calibri" w:cs="Calibri"/>
                <w:color w:val="000000"/>
              </w:rPr>
              <w:t>115</w:t>
            </w:r>
          </w:p>
        </w:tc>
        <w:tc>
          <w:tcPr>
            <w:tcW w:w="2740" w:type="dxa"/>
            <w:tcBorders>
              <w:top w:val="nil"/>
              <w:left w:val="nil"/>
              <w:bottom w:val="single" w:sz="4" w:space="0" w:color="000000"/>
              <w:right w:val="single" w:sz="4" w:space="0" w:color="000000"/>
            </w:tcBorders>
            <w:shd w:val="clear" w:color="auto" w:fill="auto"/>
            <w:noWrap/>
            <w:vAlign w:val="bottom"/>
            <w:hideMark/>
          </w:tcPr>
          <w:p w14:paraId="55400135" w14:textId="77777777" w:rsidR="007B034D" w:rsidRPr="007B034D" w:rsidRDefault="007B034D" w:rsidP="007B034D">
            <w:pPr>
              <w:spacing w:after="0" w:line="240" w:lineRule="auto"/>
              <w:jc w:val="right"/>
              <w:rPr>
                <w:rFonts w:ascii="Calibri" w:eastAsia="Times New Roman" w:hAnsi="Calibri" w:cs="Calibri"/>
                <w:color w:val="000000"/>
              </w:rPr>
            </w:pPr>
            <w:r w:rsidRPr="007B034D">
              <w:rPr>
                <w:rFonts w:ascii="Calibri" w:eastAsia="Times New Roman" w:hAnsi="Calibri" w:cs="Calibri"/>
                <w:color w:val="000000"/>
              </w:rPr>
              <w:t>85.8%</w:t>
            </w:r>
          </w:p>
        </w:tc>
      </w:tr>
      <w:tr w:rsidR="007B034D" w:rsidRPr="007B034D" w14:paraId="7C2B1557" w14:textId="77777777" w:rsidTr="007B034D">
        <w:trPr>
          <w:trHeight w:val="288"/>
        </w:trPr>
        <w:tc>
          <w:tcPr>
            <w:tcW w:w="2140" w:type="dxa"/>
            <w:tcBorders>
              <w:top w:val="nil"/>
              <w:left w:val="single" w:sz="4" w:space="0" w:color="000000"/>
              <w:bottom w:val="single" w:sz="4" w:space="0" w:color="000000"/>
              <w:right w:val="single" w:sz="4" w:space="0" w:color="000000"/>
            </w:tcBorders>
            <w:shd w:val="clear" w:color="000000" w:fill="E4DFEC"/>
            <w:vAlign w:val="center"/>
            <w:hideMark/>
          </w:tcPr>
          <w:p w14:paraId="79D18EF4" w14:textId="77777777" w:rsidR="007B034D" w:rsidRPr="007B034D" w:rsidRDefault="007B034D" w:rsidP="007B034D">
            <w:pPr>
              <w:spacing w:after="0" w:line="240" w:lineRule="auto"/>
              <w:rPr>
                <w:rFonts w:ascii="Calibri" w:eastAsia="Times New Roman" w:hAnsi="Calibri" w:cs="Calibri"/>
                <w:b/>
                <w:bCs/>
                <w:color w:val="000000"/>
              </w:rPr>
            </w:pPr>
            <w:r w:rsidRPr="007B034D">
              <w:rPr>
                <w:rFonts w:ascii="Calibri" w:eastAsia="Times New Roman" w:hAnsi="Calibri" w:cs="Calibri"/>
                <w:b/>
                <w:bCs/>
                <w:color w:val="000000"/>
              </w:rPr>
              <w:t>Ice Storm</w:t>
            </w:r>
          </w:p>
        </w:tc>
        <w:tc>
          <w:tcPr>
            <w:tcW w:w="1720" w:type="dxa"/>
            <w:tcBorders>
              <w:top w:val="nil"/>
              <w:left w:val="nil"/>
              <w:bottom w:val="single" w:sz="4" w:space="0" w:color="000000"/>
              <w:right w:val="single" w:sz="4" w:space="0" w:color="000000"/>
            </w:tcBorders>
            <w:shd w:val="clear" w:color="auto" w:fill="auto"/>
            <w:noWrap/>
            <w:vAlign w:val="bottom"/>
            <w:hideMark/>
          </w:tcPr>
          <w:p w14:paraId="776615C2" w14:textId="77777777" w:rsidR="007B034D" w:rsidRPr="007B034D" w:rsidRDefault="007B034D" w:rsidP="007B034D">
            <w:pPr>
              <w:spacing w:after="0" w:line="240" w:lineRule="auto"/>
              <w:jc w:val="right"/>
              <w:rPr>
                <w:rFonts w:ascii="Calibri" w:eastAsia="Times New Roman" w:hAnsi="Calibri" w:cs="Calibri"/>
                <w:color w:val="000000"/>
              </w:rPr>
            </w:pPr>
            <w:r w:rsidRPr="007B034D">
              <w:rPr>
                <w:rFonts w:ascii="Calibri" w:eastAsia="Times New Roman" w:hAnsi="Calibri" w:cs="Calibri"/>
                <w:color w:val="000000"/>
              </w:rPr>
              <w:t>101</w:t>
            </w:r>
          </w:p>
        </w:tc>
        <w:tc>
          <w:tcPr>
            <w:tcW w:w="2740" w:type="dxa"/>
            <w:tcBorders>
              <w:top w:val="nil"/>
              <w:left w:val="nil"/>
              <w:bottom w:val="single" w:sz="4" w:space="0" w:color="000000"/>
              <w:right w:val="single" w:sz="4" w:space="0" w:color="000000"/>
            </w:tcBorders>
            <w:shd w:val="clear" w:color="auto" w:fill="auto"/>
            <w:noWrap/>
            <w:vAlign w:val="bottom"/>
            <w:hideMark/>
          </w:tcPr>
          <w:p w14:paraId="225D9BB4" w14:textId="77777777" w:rsidR="007B034D" w:rsidRPr="007B034D" w:rsidRDefault="007B034D" w:rsidP="007B034D">
            <w:pPr>
              <w:spacing w:after="0" w:line="240" w:lineRule="auto"/>
              <w:jc w:val="right"/>
              <w:rPr>
                <w:rFonts w:ascii="Calibri" w:eastAsia="Times New Roman" w:hAnsi="Calibri" w:cs="Calibri"/>
                <w:color w:val="000000"/>
              </w:rPr>
            </w:pPr>
            <w:r w:rsidRPr="007B034D">
              <w:rPr>
                <w:rFonts w:ascii="Calibri" w:eastAsia="Times New Roman" w:hAnsi="Calibri" w:cs="Calibri"/>
                <w:color w:val="000000"/>
              </w:rPr>
              <w:t>75.4%</w:t>
            </w:r>
          </w:p>
        </w:tc>
      </w:tr>
      <w:tr w:rsidR="007B034D" w:rsidRPr="007B034D" w14:paraId="2FAD1E2E" w14:textId="77777777" w:rsidTr="007B034D">
        <w:trPr>
          <w:trHeight w:val="288"/>
        </w:trPr>
        <w:tc>
          <w:tcPr>
            <w:tcW w:w="2140" w:type="dxa"/>
            <w:tcBorders>
              <w:top w:val="nil"/>
              <w:left w:val="single" w:sz="4" w:space="0" w:color="000000"/>
              <w:bottom w:val="single" w:sz="4" w:space="0" w:color="000000"/>
              <w:right w:val="single" w:sz="4" w:space="0" w:color="000000"/>
            </w:tcBorders>
            <w:shd w:val="clear" w:color="000000" w:fill="E4DFEC"/>
            <w:vAlign w:val="center"/>
            <w:hideMark/>
          </w:tcPr>
          <w:p w14:paraId="1BDE995A" w14:textId="77777777" w:rsidR="007B034D" w:rsidRPr="007B034D" w:rsidRDefault="007B034D" w:rsidP="007B034D">
            <w:pPr>
              <w:spacing w:after="0" w:line="240" w:lineRule="auto"/>
              <w:rPr>
                <w:rFonts w:ascii="Calibri" w:eastAsia="Times New Roman" w:hAnsi="Calibri" w:cs="Calibri"/>
                <w:b/>
                <w:bCs/>
                <w:color w:val="000000"/>
              </w:rPr>
            </w:pPr>
            <w:r w:rsidRPr="007B034D">
              <w:rPr>
                <w:rFonts w:ascii="Calibri" w:eastAsia="Times New Roman" w:hAnsi="Calibri" w:cs="Calibri"/>
                <w:b/>
                <w:bCs/>
                <w:color w:val="000000"/>
              </w:rPr>
              <w:t>High Wind</w:t>
            </w:r>
          </w:p>
        </w:tc>
        <w:tc>
          <w:tcPr>
            <w:tcW w:w="1720" w:type="dxa"/>
            <w:tcBorders>
              <w:top w:val="nil"/>
              <w:left w:val="nil"/>
              <w:bottom w:val="single" w:sz="4" w:space="0" w:color="000000"/>
              <w:right w:val="single" w:sz="4" w:space="0" w:color="000000"/>
            </w:tcBorders>
            <w:shd w:val="clear" w:color="auto" w:fill="auto"/>
            <w:noWrap/>
            <w:vAlign w:val="bottom"/>
            <w:hideMark/>
          </w:tcPr>
          <w:p w14:paraId="45ADD727" w14:textId="77777777" w:rsidR="007B034D" w:rsidRPr="007B034D" w:rsidRDefault="007B034D" w:rsidP="007B034D">
            <w:pPr>
              <w:spacing w:after="0" w:line="240" w:lineRule="auto"/>
              <w:jc w:val="right"/>
              <w:rPr>
                <w:rFonts w:ascii="Calibri" w:eastAsia="Times New Roman" w:hAnsi="Calibri" w:cs="Calibri"/>
                <w:color w:val="000000"/>
              </w:rPr>
            </w:pPr>
            <w:r w:rsidRPr="007B034D">
              <w:rPr>
                <w:rFonts w:ascii="Calibri" w:eastAsia="Times New Roman" w:hAnsi="Calibri" w:cs="Calibri"/>
                <w:color w:val="000000"/>
              </w:rPr>
              <w:t>87</w:t>
            </w:r>
          </w:p>
        </w:tc>
        <w:tc>
          <w:tcPr>
            <w:tcW w:w="2740" w:type="dxa"/>
            <w:tcBorders>
              <w:top w:val="nil"/>
              <w:left w:val="nil"/>
              <w:bottom w:val="single" w:sz="4" w:space="0" w:color="000000"/>
              <w:right w:val="single" w:sz="4" w:space="0" w:color="000000"/>
            </w:tcBorders>
            <w:shd w:val="clear" w:color="auto" w:fill="auto"/>
            <w:noWrap/>
            <w:vAlign w:val="bottom"/>
            <w:hideMark/>
          </w:tcPr>
          <w:p w14:paraId="3923DB9E" w14:textId="77777777" w:rsidR="007B034D" w:rsidRPr="007B034D" w:rsidRDefault="007B034D" w:rsidP="007B034D">
            <w:pPr>
              <w:spacing w:after="0" w:line="240" w:lineRule="auto"/>
              <w:jc w:val="right"/>
              <w:rPr>
                <w:rFonts w:ascii="Calibri" w:eastAsia="Times New Roman" w:hAnsi="Calibri" w:cs="Calibri"/>
                <w:color w:val="000000"/>
              </w:rPr>
            </w:pPr>
            <w:r w:rsidRPr="007B034D">
              <w:rPr>
                <w:rFonts w:ascii="Calibri" w:eastAsia="Times New Roman" w:hAnsi="Calibri" w:cs="Calibri"/>
                <w:color w:val="000000"/>
              </w:rPr>
              <w:t>64.9%</w:t>
            </w:r>
          </w:p>
        </w:tc>
      </w:tr>
      <w:tr w:rsidR="007B034D" w:rsidRPr="007B034D" w14:paraId="0D4F2EC4" w14:textId="77777777" w:rsidTr="007B034D">
        <w:trPr>
          <w:trHeight w:val="288"/>
        </w:trPr>
        <w:tc>
          <w:tcPr>
            <w:tcW w:w="2140" w:type="dxa"/>
            <w:tcBorders>
              <w:top w:val="nil"/>
              <w:left w:val="single" w:sz="4" w:space="0" w:color="000000"/>
              <w:bottom w:val="single" w:sz="4" w:space="0" w:color="000000"/>
              <w:right w:val="single" w:sz="4" w:space="0" w:color="000000"/>
            </w:tcBorders>
            <w:shd w:val="clear" w:color="000000" w:fill="E4DFEC"/>
            <w:vAlign w:val="center"/>
            <w:hideMark/>
          </w:tcPr>
          <w:p w14:paraId="1F6BA620" w14:textId="77777777" w:rsidR="007B034D" w:rsidRPr="007B034D" w:rsidRDefault="007B034D" w:rsidP="007B034D">
            <w:pPr>
              <w:spacing w:after="0" w:line="240" w:lineRule="auto"/>
              <w:rPr>
                <w:rFonts w:ascii="Calibri" w:eastAsia="Times New Roman" w:hAnsi="Calibri" w:cs="Calibri"/>
                <w:b/>
                <w:bCs/>
                <w:color w:val="000000"/>
              </w:rPr>
            </w:pPr>
            <w:r w:rsidRPr="007B034D">
              <w:rPr>
                <w:rFonts w:ascii="Calibri" w:eastAsia="Times New Roman" w:hAnsi="Calibri" w:cs="Calibri"/>
                <w:b/>
                <w:bCs/>
                <w:color w:val="000000"/>
              </w:rPr>
              <w:t>Flash Flood</w:t>
            </w:r>
          </w:p>
        </w:tc>
        <w:tc>
          <w:tcPr>
            <w:tcW w:w="1720" w:type="dxa"/>
            <w:tcBorders>
              <w:top w:val="nil"/>
              <w:left w:val="nil"/>
              <w:bottom w:val="single" w:sz="4" w:space="0" w:color="000000"/>
              <w:right w:val="single" w:sz="4" w:space="0" w:color="000000"/>
            </w:tcBorders>
            <w:shd w:val="clear" w:color="auto" w:fill="auto"/>
            <w:noWrap/>
            <w:vAlign w:val="bottom"/>
            <w:hideMark/>
          </w:tcPr>
          <w:p w14:paraId="7FD0E42D" w14:textId="77777777" w:rsidR="007B034D" w:rsidRPr="007B034D" w:rsidRDefault="007B034D" w:rsidP="007B034D">
            <w:pPr>
              <w:spacing w:after="0" w:line="240" w:lineRule="auto"/>
              <w:jc w:val="right"/>
              <w:rPr>
                <w:rFonts w:ascii="Calibri" w:eastAsia="Times New Roman" w:hAnsi="Calibri" w:cs="Calibri"/>
                <w:color w:val="000000"/>
              </w:rPr>
            </w:pPr>
            <w:r w:rsidRPr="007B034D">
              <w:rPr>
                <w:rFonts w:ascii="Calibri" w:eastAsia="Times New Roman" w:hAnsi="Calibri" w:cs="Calibri"/>
                <w:color w:val="000000"/>
              </w:rPr>
              <w:t>69</w:t>
            </w:r>
          </w:p>
        </w:tc>
        <w:tc>
          <w:tcPr>
            <w:tcW w:w="2740" w:type="dxa"/>
            <w:tcBorders>
              <w:top w:val="nil"/>
              <w:left w:val="nil"/>
              <w:bottom w:val="single" w:sz="4" w:space="0" w:color="000000"/>
              <w:right w:val="single" w:sz="4" w:space="0" w:color="000000"/>
            </w:tcBorders>
            <w:shd w:val="clear" w:color="auto" w:fill="auto"/>
            <w:noWrap/>
            <w:vAlign w:val="bottom"/>
            <w:hideMark/>
          </w:tcPr>
          <w:p w14:paraId="0BCE884A" w14:textId="77777777" w:rsidR="007B034D" w:rsidRPr="007B034D" w:rsidRDefault="007B034D" w:rsidP="007B034D">
            <w:pPr>
              <w:spacing w:after="0" w:line="240" w:lineRule="auto"/>
              <w:jc w:val="right"/>
              <w:rPr>
                <w:rFonts w:ascii="Calibri" w:eastAsia="Times New Roman" w:hAnsi="Calibri" w:cs="Calibri"/>
                <w:color w:val="000000"/>
              </w:rPr>
            </w:pPr>
            <w:r w:rsidRPr="007B034D">
              <w:rPr>
                <w:rFonts w:ascii="Calibri" w:eastAsia="Times New Roman" w:hAnsi="Calibri" w:cs="Calibri"/>
                <w:color w:val="000000"/>
              </w:rPr>
              <w:t>51.5%</w:t>
            </w:r>
          </w:p>
        </w:tc>
      </w:tr>
      <w:tr w:rsidR="007B034D" w:rsidRPr="007B034D" w14:paraId="36970E19" w14:textId="77777777" w:rsidTr="007B034D">
        <w:trPr>
          <w:trHeight w:val="288"/>
        </w:trPr>
        <w:tc>
          <w:tcPr>
            <w:tcW w:w="2140" w:type="dxa"/>
            <w:tcBorders>
              <w:top w:val="nil"/>
              <w:left w:val="single" w:sz="4" w:space="0" w:color="000000"/>
              <w:bottom w:val="single" w:sz="4" w:space="0" w:color="000000"/>
              <w:right w:val="single" w:sz="4" w:space="0" w:color="000000"/>
            </w:tcBorders>
            <w:shd w:val="clear" w:color="000000" w:fill="E4DFEC"/>
            <w:vAlign w:val="center"/>
            <w:hideMark/>
          </w:tcPr>
          <w:p w14:paraId="31C1CB4D" w14:textId="77777777" w:rsidR="007B034D" w:rsidRPr="007B034D" w:rsidRDefault="007B034D" w:rsidP="007B034D">
            <w:pPr>
              <w:spacing w:after="0" w:line="240" w:lineRule="auto"/>
              <w:rPr>
                <w:rFonts w:ascii="Calibri" w:eastAsia="Times New Roman" w:hAnsi="Calibri" w:cs="Calibri"/>
                <w:b/>
                <w:bCs/>
                <w:color w:val="000000"/>
              </w:rPr>
            </w:pPr>
            <w:r w:rsidRPr="007B034D">
              <w:rPr>
                <w:rFonts w:ascii="Calibri" w:eastAsia="Times New Roman" w:hAnsi="Calibri" w:cs="Calibri"/>
                <w:b/>
                <w:bCs/>
                <w:color w:val="000000"/>
              </w:rPr>
              <w:t>Extreme Cold</w:t>
            </w:r>
          </w:p>
        </w:tc>
        <w:tc>
          <w:tcPr>
            <w:tcW w:w="1720" w:type="dxa"/>
            <w:tcBorders>
              <w:top w:val="nil"/>
              <w:left w:val="nil"/>
              <w:bottom w:val="single" w:sz="4" w:space="0" w:color="000000"/>
              <w:right w:val="single" w:sz="4" w:space="0" w:color="000000"/>
            </w:tcBorders>
            <w:shd w:val="clear" w:color="auto" w:fill="auto"/>
            <w:noWrap/>
            <w:vAlign w:val="bottom"/>
            <w:hideMark/>
          </w:tcPr>
          <w:p w14:paraId="72A1285B" w14:textId="77777777" w:rsidR="007B034D" w:rsidRPr="007B034D" w:rsidRDefault="007B034D" w:rsidP="007B034D">
            <w:pPr>
              <w:spacing w:after="0" w:line="240" w:lineRule="auto"/>
              <w:jc w:val="right"/>
              <w:rPr>
                <w:rFonts w:ascii="Calibri" w:eastAsia="Times New Roman" w:hAnsi="Calibri" w:cs="Calibri"/>
                <w:color w:val="000000"/>
              </w:rPr>
            </w:pPr>
            <w:r w:rsidRPr="007B034D">
              <w:rPr>
                <w:rFonts w:ascii="Calibri" w:eastAsia="Times New Roman" w:hAnsi="Calibri" w:cs="Calibri"/>
                <w:color w:val="000000"/>
              </w:rPr>
              <w:t>62</w:t>
            </w:r>
          </w:p>
        </w:tc>
        <w:tc>
          <w:tcPr>
            <w:tcW w:w="2740" w:type="dxa"/>
            <w:tcBorders>
              <w:top w:val="nil"/>
              <w:left w:val="nil"/>
              <w:bottom w:val="single" w:sz="4" w:space="0" w:color="000000"/>
              <w:right w:val="single" w:sz="4" w:space="0" w:color="000000"/>
            </w:tcBorders>
            <w:shd w:val="clear" w:color="auto" w:fill="auto"/>
            <w:noWrap/>
            <w:vAlign w:val="bottom"/>
            <w:hideMark/>
          </w:tcPr>
          <w:p w14:paraId="2B960DAA" w14:textId="77777777" w:rsidR="007B034D" w:rsidRPr="007B034D" w:rsidRDefault="007B034D" w:rsidP="007B034D">
            <w:pPr>
              <w:spacing w:after="0" w:line="240" w:lineRule="auto"/>
              <w:jc w:val="right"/>
              <w:rPr>
                <w:rFonts w:ascii="Calibri" w:eastAsia="Times New Roman" w:hAnsi="Calibri" w:cs="Calibri"/>
                <w:color w:val="000000"/>
              </w:rPr>
            </w:pPr>
            <w:r w:rsidRPr="007B034D">
              <w:rPr>
                <w:rFonts w:ascii="Calibri" w:eastAsia="Times New Roman" w:hAnsi="Calibri" w:cs="Calibri"/>
                <w:color w:val="000000"/>
              </w:rPr>
              <w:t>46.3%</w:t>
            </w:r>
          </w:p>
        </w:tc>
      </w:tr>
      <w:tr w:rsidR="007B034D" w:rsidRPr="007B034D" w14:paraId="33E7F9FD" w14:textId="77777777" w:rsidTr="007B034D">
        <w:trPr>
          <w:trHeight w:val="288"/>
        </w:trPr>
        <w:tc>
          <w:tcPr>
            <w:tcW w:w="2140" w:type="dxa"/>
            <w:tcBorders>
              <w:top w:val="nil"/>
              <w:left w:val="single" w:sz="4" w:space="0" w:color="000000"/>
              <w:bottom w:val="single" w:sz="4" w:space="0" w:color="000000"/>
              <w:right w:val="single" w:sz="4" w:space="0" w:color="000000"/>
            </w:tcBorders>
            <w:shd w:val="clear" w:color="000000" w:fill="E4DFEC"/>
            <w:vAlign w:val="center"/>
            <w:hideMark/>
          </w:tcPr>
          <w:p w14:paraId="5C0498AA" w14:textId="77777777" w:rsidR="007B034D" w:rsidRPr="007B034D" w:rsidRDefault="007B034D" w:rsidP="007B034D">
            <w:pPr>
              <w:spacing w:after="0" w:line="240" w:lineRule="auto"/>
              <w:rPr>
                <w:rFonts w:ascii="Calibri" w:eastAsia="Times New Roman" w:hAnsi="Calibri" w:cs="Calibri"/>
                <w:b/>
                <w:bCs/>
                <w:color w:val="000000"/>
              </w:rPr>
            </w:pPr>
            <w:r w:rsidRPr="007B034D">
              <w:rPr>
                <w:rFonts w:ascii="Calibri" w:eastAsia="Times New Roman" w:hAnsi="Calibri" w:cs="Calibri"/>
                <w:b/>
                <w:bCs/>
                <w:color w:val="000000"/>
              </w:rPr>
              <w:t>Hail</w:t>
            </w:r>
          </w:p>
        </w:tc>
        <w:tc>
          <w:tcPr>
            <w:tcW w:w="1720" w:type="dxa"/>
            <w:tcBorders>
              <w:top w:val="nil"/>
              <w:left w:val="nil"/>
              <w:bottom w:val="single" w:sz="4" w:space="0" w:color="000000"/>
              <w:right w:val="single" w:sz="4" w:space="0" w:color="000000"/>
            </w:tcBorders>
            <w:shd w:val="clear" w:color="auto" w:fill="auto"/>
            <w:noWrap/>
            <w:vAlign w:val="bottom"/>
            <w:hideMark/>
          </w:tcPr>
          <w:p w14:paraId="3761ABD1" w14:textId="77777777" w:rsidR="007B034D" w:rsidRPr="007B034D" w:rsidRDefault="007B034D" w:rsidP="007B034D">
            <w:pPr>
              <w:spacing w:after="0" w:line="240" w:lineRule="auto"/>
              <w:jc w:val="right"/>
              <w:rPr>
                <w:rFonts w:ascii="Calibri" w:eastAsia="Times New Roman" w:hAnsi="Calibri" w:cs="Calibri"/>
                <w:color w:val="000000"/>
              </w:rPr>
            </w:pPr>
            <w:r w:rsidRPr="007B034D">
              <w:rPr>
                <w:rFonts w:ascii="Calibri" w:eastAsia="Times New Roman" w:hAnsi="Calibri" w:cs="Calibri"/>
                <w:color w:val="000000"/>
              </w:rPr>
              <w:t>48</w:t>
            </w:r>
          </w:p>
        </w:tc>
        <w:tc>
          <w:tcPr>
            <w:tcW w:w="2740" w:type="dxa"/>
            <w:tcBorders>
              <w:top w:val="nil"/>
              <w:left w:val="nil"/>
              <w:bottom w:val="single" w:sz="4" w:space="0" w:color="000000"/>
              <w:right w:val="single" w:sz="4" w:space="0" w:color="000000"/>
            </w:tcBorders>
            <w:shd w:val="clear" w:color="auto" w:fill="auto"/>
            <w:noWrap/>
            <w:vAlign w:val="bottom"/>
            <w:hideMark/>
          </w:tcPr>
          <w:p w14:paraId="390946A5" w14:textId="77777777" w:rsidR="007B034D" w:rsidRPr="007B034D" w:rsidRDefault="007B034D" w:rsidP="007B034D">
            <w:pPr>
              <w:spacing w:after="0" w:line="240" w:lineRule="auto"/>
              <w:jc w:val="right"/>
              <w:rPr>
                <w:rFonts w:ascii="Calibri" w:eastAsia="Times New Roman" w:hAnsi="Calibri" w:cs="Calibri"/>
                <w:color w:val="000000"/>
              </w:rPr>
            </w:pPr>
            <w:r w:rsidRPr="007B034D">
              <w:rPr>
                <w:rFonts w:ascii="Calibri" w:eastAsia="Times New Roman" w:hAnsi="Calibri" w:cs="Calibri"/>
                <w:color w:val="000000"/>
              </w:rPr>
              <w:t>35.8%</w:t>
            </w:r>
          </w:p>
        </w:tc>
      </w:tr>
      <w:tr w:rsidR="007B034D" w:rsidRPr="007B034D" w14:paraId="051DBC9C" w14:textId="77777777" w:rsidTr="007B034D">
        <w:trPr>
          <w:trHeight w:val="288"/>
        </w:trPr>
        <w:tc>
          <w:tcPr>
            <w:tcW w:w="2140" w:type="dxa"/>
            <w:tcBorders>
              <w:top w:val="nil"/>
              <w:left w:val="single" w:sz="4" w:space="0" w:color="000000"/>
              <w:bottom w:val="single" w:sz="4" w:space="0" w:color="000000"/>
              <w:right w:val="single" w:sz="4" w:space="0" w:color="000000"/>
            </w:tcBorders>
            <w:shd w:val="clear" w:color="000000" w:fill="E4DFEC"/>
            <w:vAlign w:val="center"/>
            <w:hideMark/>
          </w:tcPr>
          <w:p w14:paraId="656E34C7" w14:textId="77777777" w:rsidR="007B034D" w:rsidRPr="007B034D" w:rsidRDefault="007B034D" w:rsidP="007B034D">
            <w:pPr>
              <w:spacing w:after="0" w:line="240" w:lineRule="auto"/>
              <w:rPr>
                <w:rFonts w:ascii="Calibri" w:eastAsia="Times New Roman" w:hAnsi="Calibri" w:cs="Calibri"/>
                <w:b/>
                <w:bCs/>
                <w:color w:val="000000"/>
              </w:rPr>
            </w:pPr>
            <w:r w:rsidRPr="007B034D">
              <w:rPr>
                <w:rFonts w:ascii="Calibri" w:eastAsia="Times New Roman" w:hAnsi="Calibri" w:cs="Calibri"/>
                <w:b/>
                <w:bCs/>
                <w:color w:val="000000"/>
              </w:rPr>
              <w:t>Wildfires</w:t>
            </w:r>
          </w:p>
        </w:tc>
        <w:tc>
          <w:tcPr>
            <w:tcW w:w="1720" w:type="dxa"/>
            <w:tcBorders>
              <w:top w:val="nil"/>
              <w:left w:val="nil"/>
              <w:bottom w:val="single" w:sz="4" w:space="0" w:color="000000"/>
              <w:right w:val="single" w:sz="4" w:space="0" w:color="000000"/>
            </w:tcBorders>
            <w:shd w:val="clear" w:color="auto" w:fill="auto"/>
            <w:noWrap/>
            <w:vAlign w:val="bottom"/>
            <w:hideMark/>
          </w:tcPr>
          <w:p w14:paraId="4FEB9647" w14:textId="77777777" w:rsidR="007B034D" w:rsidRPr="007B034D" w:rsidRDefault="007B034D" w:rsidP="007B034D">
            <w:pPr>
              <w:spacing w:after="0" w:line="240" w:lineRule="auto"/>
              <w:jc w:val="right"/>
              <w:rPr>
                <w:rFonts w:ascii="Calibri" w:eastAsia="Times New Roman" w:hAnsi="Calibri" w:cs="Calibri"/>
                <w:color w:val="000000"/>
              </w:rPr>
            </w:pPr>
            <w:r w:rsidRPr="007B034D">
              <w:rPr>
                <w:rFonts w:ascii="Calibri" w:eastAsia="Times New Roman" w:hAnsi="Calibri" w:cs="Calibri"/>
                <w:color w:val="000000"/>
              </w:rPr>
              <w:t>47</w:t>
            </w:r>
          </w:p>
        </w:tc>
        <w:tc>
          <w:tcPr>
            <w:tcW w:w="2740" w:type="dxa"/>
            <w:tcBorders>
              <w:top w:val="nil"/>
              <w:left w:val="nil"/>
              <w:bottom w:val="single" w:sz="4" w:space="0" w:color="000000"/>
              <w:right w:val="single" w:sz="4" w:space="0" w:color="000000"/>
            </w:tcBorders>
            <w:shd w:val="clear" w:color="auto" w:fill="auto"/>
            <w:noWrap/>
            <w:vAlign w:val="bottom"/>
            <w:hideMark/>
          </w:tcPr>
          <w:p w14:paraId="1BF0EF6C" w14:textId="77777777" w:rsidR="007B034D" w:rsidRPr="007B034D" w:rsidRDefault="007B034D" w:rsidP="007B034D">
            <w:pPr>
              <w:spacing w:after="0" w:line="240" w:lineRule="auto"/>
              <w:jc w:val="right"/>
              <w:rPr>
                <w:rFonts w:ascii="Calibri" w:eastAsia="Times New Roman" w:hAnsi="Calibri" w:cs="Calibri"/>
                <w:color w:val="000000"/>
              </w:rPr>
            </w:pPr>
            <w:r w:rsidRPr="007B034D">
              <w:rPr>
                <w:rFonts w:ascii="Calibri" w:eastAsia="Times New Roman" w:hAnsi="Calibri" w:cs="Calibri"/>
                <w:color w:val="000000"/>
              </w:rPr>
              <w:t>35.1%</w:t>
            </w:r>
          </w:p>
        </w:tc>
      </w:tr>
      <w:tr w:rsidR="007B034D" w:rsidRPr="007B034D" w14:paraId="453F483B" w14:textId="77777777" w:rsidTr="007B034D">
        <w:trPr>
          <w:trHeight w:val="288"/>
        </w:trPr>
        <w:tc>
          <w:tcPr>
            <w:tcW w:w="2140" w:type="dxa"/>
            <w:tcBorders>
              <w:top w:val="nil"/>
              <w:left w:val="single" w:sz="4" w:space="0" w:color="000000"/>
              <w:bottom w:val="single" w:sz="4" w:space="0" w:color="000000"/>
              <w:right w:val="single" w:sz="4" w:space="0" w:color="000000"/>
            </w:tcBorders>
            <w:shd w:val="clear" w:color="000000" w:fill="E4DFEC"/>
            <w:vAlign w:val="center"/>
            <w:hideMark/>
          </w:tcPr>
          <w:p w14:paraId="60D94CE4" w14:textId="77777777" w:rsidR="007B034D" w:rsidRPr="007B034D" w:rsidRDefault="007B034D" w:rsidP="007B034D">
            <w:pPr>
              <w:spacing w:after="0" w:line="240" w:lineRule="auto"/>
              <w:rPr>
                <w:rFonts w:ascii="Calibri" w:eastAsia="Times New Roman" w:hAnsi="Calibri" w:cs="Calibri"/>
                <w:b/>
                <w:bCs/>
                <w:color w:val="000000"/>
              </w:rPr>
            </w:pPr>
            <w:r w:rsidRPr="007B034D">
              <w:rPr>
                <w:rFonts w:ascii="Calibri" w:eastAsia="Times New Roman" w:hAnsi="Calibri" w:cs="Calibri"/>
                <w:b/>
                <w:bCs/>
                <w:color w:val="000000"/>
              </w:rPr>
              <w:t>Drought</w:t>
            </w:r>
          </w:p>
        </w:tc>
        <w:tc>
          <w:tcPr>
            <w:tcW w:w="1720" w:type="dxa"/>
            <w:tcBorders>
              <w:top w:val="nil"/>
              <w:left w:val="nil"/>
              <w:bottom w:val="single" w:sz="4" w:space="0" w:color="000000"/>
              <w:right w:val="single" w:sz="4" w:space="0" w:color="000000"/>
            </w:tcBorders>
            <w:shd w:val="clear" w:color="auto" w:fill="auto"/>
            <w:noWrap/>
            <w:vAlign w:val="bottom"/>
            <w:hideMark/>
          </w:tcPr>
          <w:p w14:paraId="0B67A4B8" w14:textId="77777777" w:rsidR="007B034D" w:rsidRPr="007B034D" w:rsidRDefault="007B034D" w:rsidP="007B034D">
            <w:pPr>
              <w:spacing w:after="0" w:line="240" w:lineRule="auto"/>
              <w:jc w:val="right"/>
              <w:rPr>
                <w:rFonts w:ascii="Calibri" w:eastAsia="Times New Roman" w:hAnsi="Calibri" w:cs="Calibri"/>
                <w:color w:val="000000"/>
              </w:rPr>
            </w:pPr>
            <w:r w:rsidRPr="007B034D">
              <w:rPr>
                <w:rFonts w:ascii="Calibri" w:eastAsia="Times New Roman" w:hAnsi="Calibri" w:cs="Calibri"/>
                <w:color w:val="000000"/>
              </w:rPr>
              <w:t>46</w:t>
            </w:r>
          </w:p>
        </w:tc>
        <w:tc>
          <w:tcPr>
            <w:tcW w:w="2740" w:type="dxa"/>
            <w:tcBorders>
              <w:top w:val="nil"/>
              <w:left w:val="nil"/>
              <w:bottom w:val="single" w:sz="4" w:space="0" w:color="000000"/>
              <w:right w:val="single" w:sz="4" w:space="0" w:color="000000"/>
            </w:tcBorders>
            <w:shd w:val="clear" w:color="auto" w:fill="auto"/>
            <w:noWrap/>
            <w:vAlign w:val="bottom"/>
            <w:hideMark/>
          </w:tcPr>
          <w:p w14:paraId="2226CAD0" w14:textId="77777777" w:rsidR="007B034D" w:rsidRPr="007B034D" w:rsidRDefault="007B034D" w:rsidP="007B034D">
            <w:pPr>
              <w:spacing w:after="0" w:line="240" w:lineRule="auto"/>
              <w:jc w:val="right"/>
              <w:rPr>
                <w:rFonts w:ascii="Calibri" w:eastAsia="Times New Roman" w:hAnsi="Calibri" w:cs="Calibri"/>
                <w:color w:val="000000"/>
              </w:rPr>
            </w:pPr>
            <w:r w:rsidRPr="007B034D">
              <w:rPr>
                <w:rFonts w:ascii="Calibri" w:eastAsia="Times New Roman" w:hAnsi="Calibri" w:cs="Calibri"/>
                <w:color w:val="000000"/>
              </w:rPr>
              <w:t>34.3%</w:t>
            </w:r>
          </w:p>
        </w:tc>
      </w:tr>
      <w:tr w:rsidR="007B034D" w:rsidRPr="007B034D" w14:paraId="2EB43149" w14:textId="77777777" w:rsidTr="007B034D">
        <w:trPr>
          <w:trHeight w:val="288"/>
        </w:trPr>
        <w:tc>
          <w:tcPr>
            <w:tcW w:w="2140" w:type="dxa"/>
            <w:tcBorders>
              <w:top w:val="nil"/>
              <w:left w:val="single" w:sz="4" w:space="0" w:color="000000"/>
              <w:bottom w:val="single" w:sz="4" w:space="0" w:color="000000"/>
              <w:right w:val="single" w:sz="4" w:space="0" w:color="000000"/>
            </w:tcBorders>
            <w:shd w:val="clear" w:color="000000" w:fill="E4DFEC"/>
            <w:vAlign w:val="center"/>
            <w:hideMark/>
          </w:tcPr>
          <w:p w14:paraId="27C2E1E4" w14:textId="77777777" w:rsidR="007B034D" w:rsidRPr="007B034D" w:rsidRDefault="007B034D" w:rsidP="007B034D">
            <w:pPr>
              <w:spacing w:after="0" w:line="240" w:lineRule="auto"/>
              <w:rPr>
                <w:rFonts w:ascii="Calibri" w:eastAsia="Times New Roman" w:hAnsi="Calibri" w:cs="Calibri"/>
                <w:b/>
                <w:bCs/>
                <w:color w:val="000000"/>
              </w:rPr>
            </w:pPr>
            <w:r w:rsidRPr="007B034D">
              <w:rPr>
                <w:rFonts w:ascii="Calibri" w:eastAsia="Times New Roman" w:hAnsi="Calibri" w:cs="Calibri"/>
                <w:b/>
                <w:bCs/>
                <w:color w:val="000000"/>
              </w:rPr>
              <w:t>Thunderstorms</w:t>
            </w:r>
          </w:p>
        </w:tc>
        <w:tc>
          <w:tcPr>
            <w:tcW w:w="1720" w:type="dxa"/>
            <w:tcBorders>
              <w:top w:val="nil"/>
              <w:left w:val="nil"/>
              <w:bottom w:val="single" w:sz="4" w:space="0" w:color="000000"/>
              <w:right w:val="single" w:sz="4" w:space="0" w:color="000000"/>
            </w:tcBorders>
            <w:shd w:val="clear" w:color="auto" w:fill="auto"/>
            <w:noWrap/>
            <w:vAlign w:val="bottom"/>
            <w:hideMark/>
          </w:tcPr>
          <w:p w14:paraId="7A60B53A" w14:textId="77777777" w:rsidR="007B034D" w:rsidRPr="007B034D" w:rsidRDefault="007B034D" w:rsidP="007B034D">
            <w:pPr>
              <w:spacing w:after="0" w:line="240" w:lineRule="auto"/>
              <w:jc w:val="right"/>
              <w:rPr>
                <w:rFonts w:ascii="Calibri" w:eastAsia="Times New Roman" w:hAnsi="Calibri" w:cs="Calibri"/>
                <w:color w:val="000000"/>
              </w:rPr>
            </w:pPr>
            <w:r w:rsidRPr="007B034D">
              <w:rPr>
                <w:rFonts w:ascii="Calibri" w:eastAsia="Times New Roman" w:hAnsi="Calibri" w:cs="Calibri"/>
                <w:color w:val="000000"/>
              </w:rPr>
              <w:t>42</w:t>
            </w:r>
          </w:p>
        </w:tc>
        <w:tc>
          <w:tcPr>
            <w:tcW w:w="2740" w:type="dxa"/>
            <w:tcBorders>
              <w:top w:val="nil"/>
              <w:left w:val="nil"/>
              <w:bottom w:val="single" w:sz="4" w:space="0" w:color="000000"/>
              <w:right w:val="single" w:sz="4" w:space="0" w:color="000000"/>
            </w:tcBorders>
            <w:shd w:val="clear" w:color="auto" w:fill="auto"/>
            <w:noWrap/>
            <w:vAlign w:val="bottom"/>
            <w:hideMark/>
          </w:tcPr>
          <w:p w14:paraId="6B156442" w14:textId="77777777" w:rsidR="007B034D" w:rsidRPr="007B034D" w:rsidRDefault="007B034D" w:rsidP="007B034D">
            <w:pPr>
              <w:spacing w:after="0" w:line="240" w:lineRule="auto"/>
              <w:jc w:val="right"/>
              <w:rPr>
                <w:rFonts w:ascii="Calibri" w:eastAsia="Times New Roman" w:hAnsi="Calibri" w:cs="Calibri"/>
                <w:color w:val="000000"/>
              </w:rPr>
            </w:pPr>
            <w:r w:rsidRPr="007B034D">
              <w:rPr>
                <w:rFonts w:ascii="Calibri" w:eastAsia="Times New Roman" w:hAnsi="Calibri" w:cs="Calibri"/>
                <w:color w:val="000000"/>
              </w:rPr>
              <w:t>31.3%</w:t>
            </w:r>
          </w:p>
        </w:tc>
      </w:tr>
      <w:tr w:rsidR="007B034D" w:rsidRPr="007B034D" w14:paraId="524F9882" w14:textId="77777777" w:rsidTr="007B034D">
        <w:trPr>
          <w:trHeight w:val="576"/>
        </w:trPr>
        <w:tc>
          <w:tcPr>
            <w:tcW w:w="2140" w:type="dxa"/>
            <w:tcBorders>
              <w:top w:val="nil"/>
              <w:left w:val="single" w:sz="4" w:space="0" w:color="000000"/>
              <w:bottom w:val="single" w:sz="4" w:space="0" w:color="000000"/>
              <w:right w:val="single" w:sz="4" w:space="0" w:color="000000"/>
            </w:tcBorders>
            <w:shd w:val="clear" w:color="000000" w:fill="E4DFEC"/>
            <w:vAlign w:val="center"/>
            <w:hideMark/>
          </w:tcPr>
          <w:p w14:paraId="51D39A5B" w14:textId="77777777" w:rsidR="007B034D" w:rsidRPr="007B034D" w:rsidRDefault="007B034D" w:rsidP="007B034D">
            <w:pPr>
              <w:spacing w:after="0" w:line="240" w:lineRule="auto"/>
              <w:rPr>
                <w:rFonts w:ascii="Calibri" w:eastAsia="Times New Roman" w:hAnsi="Calibri" w:cs="Calibri"/>
                <w:b/>
                <w:bCs/>
                <w:color w:val="000000"/>
              </w:rPr>
            </w:pPr>
            <w:r w:rsidRPr="007B034D">
              <w:rPr>
                <w:rFonts w:ascii="Calibri" w:eastAsia="Times New Roman" w:hAnsi="Calibri" w:cs="Calibri"/>
                <w:b/>
                <w:bCs/>
                <w:color w:val="000000"/>
              </w:rPr>
              <w:t>Hurricanes/Tropical Storms</w:t>
            </w:r>
          </w:p>
        </w:tc>
        <w:tc>
          <w:tcPr>
            <w:tcW w:w="1720" w:type="dxa"/>
            <w:tcBorders>
              <w:top w:val="nil"/>
              <w:left w:val="nil"/>
              <w:bottom w:val="single" w:sz="4" w:space="0" w:color="000000"/>
              <w:right w:val="single" w:sz="4" w:space="0" w:color="000000"/>
            </w:tcBorders>
            <w:shd w:val="clear" w:color="auto" w:fill="auto"/>
            <w:noWrap/>
            <w:vAlign w:val="bottom"/>
            <w:hideMark/>
          </w:tcPr>
          <w:p w14:paraId="3DD570EC" w14:textId="77777777" w:rsidR="007B034D" w:rsidRPr="007B034D" w:rsidRDefault="007B034D" w:rsidP="007B034D">
            <w:pPr>
              <w:spacing w:after="0" w:line="240" w:lineRule="auto"/>
              <w:jc w:val="right"/>
              <w:rPr>
                <w:rFonts w:ascii="Calibri" w:eastAsia="Times New Roman" w:hAnsi="Calibri" w:cs="Calibri"/>
                <w:color w:val="000000"/>
              </w:rPr>
            </w:pPr>
            <w:r w:rsidRPr="007B034D">
              <w:rPr>
                <w:rFonts w:ascii="Calibri" w:eastAsia="Times New Roman" w:hAnsi="Calibri" w:cs="Calibri"/>
                <w:color w:val="000000"/>
              </w:rPr>
              <w:t>39</w:t>
            </w:r>
          </w:p>
        </w:tc>
        <w:tc>
          <w:tcPr>
            <w:tcW w:w="2740" w:type="dxa"/>
            <w:tcBorders>
              <w:top w:val="nil"/>
              <w:left w:val="nil"/>
              <w:bottom w:val="single" w:sz="4" w:space="0" w:color="000000"/>
              <w:right w:val="single" w:sz="4" w:space="0" w:color="000000"/>
            </w:tcBorders>
            <w:shd w:val="clear" w:color="auto" w:fill="auto"/>
            <w:noWrap/>
            <w:vAlign w:val="bottom"/>
            <w:hideMark/>
          </w:tcPr>
          <w:p w14:paraId="4059DBBC" w14:textId="77777777" w:rsidR="007B034D" w:rsidRPr="007B034D" w:rsidRDefault="007B034D" w:rsidP="007B034D">
            <w:pPr>
              <w:spacing w:after="0" w:line="240" w:lineRule="auto"/>
              <w:jc w:val="right"/>
              <w:rPr>
                <w:rFonts w:ascii="Calibri" w:eastAsia="Times New Roman" w:hAnsi="Calibri" w:cs="Calibri"/>
                <w:color w:val="000000"/>
              </w:rPr>
            </w:pPr>
            <w:r w:rsidRPr="007B034D">
              <w:rPr>
                <w:rFonts w:ascii="Calibri" w:eastAsia="Times New Roman" w:hAnsi="Calibri" w:cs="Calibri"/>
                <w:color w:val="000000"/>
              </w:rPr>
              <w:t>29.1%</w:t>
            </w:r>
          </w:p>
        </w:tc>
      </w:tr>
      <w:tr w:rsidR="007B034D" w:rsidRPr="007B034D" w14:paraId="007400E2" w14:textId="77777777" w:rsidTr="007B034D">
        <w:trPr>
          <w:trHeight w:val="288"/>
        </w:trPr>
        <w:tc>
          <w:tcPr>
            <w:tcW w:w="2140" w:type="dxa"/>
            <w:tcBorders>
              <w:top w:val="nil"/>
              <w:left w:val="single" w:sz="4" w:space="0" w:color="000000"/>
              <w:bottom w:val="single" w:sz="4" w:space="0" w:color="000000"/>
              <w:right w:val="single" w:sz="4" w:space="0" w:color="000000"/>
            </w:tcBorders>
            <w:shd w:val="clear" w:color="000000" w:fill="E4DFEC"/>
            <w:vAlign w:val="center"/>
            <w:hideMark/>
          </w:tcPr>
          <w:p w14:paraId="529A8B91" w14:textId="77777777" w:rsidR="007B034D" w:rsidRPr="007B034D" w:rsidRDefault="007B034D" w:rsidP="007B034D">
            <w:pPr>
              <w:spacing w:after="0" w:line="240" w:lineRule="auto"/>
              <w:rPr>
                <w:rFonts w:ascii="Calibri" w:eastAsia="Times New Roman" w:hAnsi="Calibri" w:cs="Calibri"/>
                <w:b/>
                <w:bCs/>
                <w:color w:val="000000"/>
              </w:rPr>
            </w:pPr>
            <w:r w:rsidRPr="007B034D">
              <w:rPr>
                <w:rFonts w:ascii="Calibri" w:eastAsia="Times New Roman" w:hAnsi="Calibri" w:cs="Calibri"/>
                <w:b/>
                <w:bCs/>
                <w:color w:val="000000"/>
              </w:rPr>
              <w:t>Landslides</w:t>
            </w:r>
          </w:p>
        </w:tc>
        <w:tc>
          <w:tcPr>
            <w:tcW w:w="1720" w:type="dxa"/>
            <w:tcBorders>
              <w:top w:val="nil"/>
              <w:left w:val="nil"/>
              <w:bottom w:val="single" w:sz="4" w:space="0" w:color="000000"/>
              <w:right w:val="single" w:sz="4" w:space="0" w:color="000000"/>
            </w:tcBorders>
            <w:shd w:val="clear" w:color="auto" w:fill="auto"/>
            <w:noWrap/>
            <w:vAlign w:val="bottom"/>
            <w:hideMark/>
          </w:tcPr>
          <w:p w14:paraId="0DE91970" w14:textId="77777777" w:rsidR="007B034D" w:rsidRPr="007B034D" w:rsidRDefault="007B034D" w:rsidP="007B034D">
            <w:pPr>
              <w:spacing w:after="0" w:line="240" w:lineRule="auto"/>
              <w:jc w:val="right"/>
              <w:rPr>
                <w:rFonts w:ascii="Calibri" w:eastAsia="Times New Roman" w:hAnsi="Calibri" w:cs="Calibri"/>
                <w:color w:val="000000"/>
              </w:rPr>
            </w:pPr>
            <w:r w:rsidRPr="007B034D">
              <w:rPr>
                <w:rFonts w:ascii="Calibri" w:eastAsia="Times New Roman" w:hAnsi="Calibri" w:cs="Calibri"/>
                <w:color w:val="000000"/>
              </w:rPr>
              <w:t>38</w:t>
            </w:r>
          </w:p>
        </w:tc>
        <w:tc>
          <w:tcPr>
            <w:tcW w:w="2740" w:type="dxa"/>
            <w:tcBorders>
              <w:top w:val="nil"/>
              <w:left w:val="nil"/>
              <w:bottom w:val="single" w:sz="4" w:space="0" w:color="000000"/>
              <w:right w:val="single" w:sz="4" w:space="0" w:color="000000"/>
            </w:tcBorders>
            <w:shd w:val="clear" w:color="auto" w:fill="auto"/>
            <w:noWrap/>
            <w:vAlign w:val="bottom"/>
            <w:hideMark/>
          </w:tcPr>
          <w:p w14:paraId="42819669" w14:textId="77777777" w:rsidR="007B034D" w:rsidRPr="007B034D" w:rsidRDefault="007B034D" w:rsidP="007B034D">
            <w:pPr>
              <w:spacing w:after="0" w:line="240" w:lineRule="auto"/>
              <w:jc w:val="right"/>
              <w:rPr>
                <w:rFonts w:ascii="Calibri" w:eastAsia="Times New Roman" w:hAnsi="Calibri" w:cs="Calibri"/>
                <w:color w:val="000000"/>
              </w:rPr>
            </w:pPr>
            <w:r w:rsidRPr="007B034D">
              <w:rPr>
                <w:rFonts w:ascii="Calibri" w:eastAsia="Times New Roman" w:hAnsi="Calibri" w:cs="Calibri"/>
                <w:color w:val="000000"/>
              </w:rPr>
              <w:t>28.4%</w:t>
            </w:r>
          </w:p>
        </w:tc>
      </w:tr>
      <w:tr w:rsidR="007B034D" w:rsidRPr="007B034D" w14:paraId="3827286C" w14:textId="77777777" w:rsidTr="007B034D">
        <w:trPr>
          <w:trHeight w:val="288"/>
        </w:trPr>
        <w:tc>
          <w:tcPr>
            <w:tcW w:w="2140" w:type="dxa"/>
            <w:tcBorders>
              <w:top w:val="nil"/>
              <w:left w:val="single" w:sz="4" w:space="0" w:color="000000"/>
              <w:bottom w:val="single" w:sz="4" w:space="0" w:color="000000"/>
              <w:right w:val="single" w:sz="4" w:space="0" w:color="000000"/>
            </w:tcBorders>
            <w:shd w:val="clear" w:color="000000" w:fill="E4DFEC"/>
            <w:vAlign w:val="center"/>
            <w:hideMark/>
          </w:tcPr>
          <w:p w14:paraId="7D527D32" w14:textId="77777777" w:rsidR="007B034D" w:rsidRPr="007B034D" w:rsidRDefault="007B034D" w:rsidP="007B034D">
            <w:pPr>
              <w:spacing w:after="0" w:line="240" w:lineRule="auto"/>
              <w:rPr>
                <w:rFonts w:ascii="Calibri" w:eastAsia="Times New Roman" w:hAnsi="Calibri" w:cs="Calibri"/>
                <w:b/>
                <w:bCs/>
                <w:color w:val="000000"/>
              </w:rPr>
            </w:pPr>
            <w:r w:rsidRPr="007B034D">
              <w:rPr>
                <w:rFonts w:ascii="Calibri" w:eastAsia="Times New Roman" w:hAnsi="Calibri" w:cs="Calibri"/>
                <w:b/>
                <w:bCs/>
                <w:color w:val="000000"/>
              </w:rPr>
              <w:t>Earthquakes</w:t>
            </w:r>
          </w:p>
        </w:tc>
        <w:tc>
          <w:tcPr>
            <w:tcW w:w="1720" w:type="dxa"/>
            <w:tcBorders>
              <w:top w:val="nil"/>
              <w:left w:val="nil"/>
              <w:bottom w:val="single" w:sz="4" w:space="0" w:color="000000"/>
              <w:right w:val="single" w:sz="4" w:space="0" w:color="000000"/>
            </w:tcBorders>
            <w:shd w:val="clear" w:color="auto" w:fill="auto"/>
            <w:noWrap/>
            <w:vAlign w:val="bottom"/>
            <w:hideMark/>
          </w:tcPr>
          <w:p w14:paraId="6099CF9D" w14:textId="77777777" w:rsidR="007B034D" w:rsidRPr="007B034D" w:rsidRDefault="007B034D" w:rsidP="007B034D">
            <w:pPr>
              <w:spacing w:after="0" w:line="240" w:lineRule="auto"/>
              <w:jc w:val="right"/>
              <w:rPr>
                <w:rFonts w:ascii="Calibri" w:eastAsia="Times New Roman" w:hAnsi="Calibri" w:cs="Calibri"/>
                <w:color w:val="000000"/>
              </w:rPr>
            </w:pPr>
            <w:r w:rsidRPr="007B034D">
              <w:rPr>
                <w:rFonts w:ascii="Calibri" w:eastAsia="Times New Roman" w:hAnsi="Calibri" w:cs="Calibri"/>
                <w:color w:val="000000"/>
              </w:rPr>
              <w:t>38</w:t>
            </w:r>
          </w:p>
        </w:tc>
        <w:tc>
          <w:tcPr>
            <w:tcW w:w="2740" w:type="dxa"/>
            <w:tcBorders>
              <w:top w:val="nil"/>
              <w:left w:val="nil"/>
              <w:bottom w:val="single" w:sz="4" w:space="0" w:color="000000"/>
              <w:right w:val="single" w:sz="4" w:space="0" w:color="000000"/>
            </w:tcBorders>
            <w:shd w:val="clear" w:color="auto" w:fill="auto"/>
            <w:noWrap/>
            <w:vAlign w:val="bottom"/>
            <w:hideMark/>
          </w:tcPr>
          <w:p w14:paraId="07BEA75C" w14:textId="77777777" w:rsidR="007B034D" w:rsidRPr="007B034D" w:rsidRDefault="007B034D" w:rsidP="007B034D">
            <w:pPr>
              <w:spacing w:after="0" w:line="240" w:lineRule="auto"/>
              <w:jc w:val="right"/>
              <w:rPr>
                <w:rFonts w:ascii="Calibri" w:eastAsia="Times New Roman" w:hAnsi="Calibri" w:cs="Calibri"/>
                <w:color w:val="000000"/>
              </w:rPr>
            </w:pPr>
            <w:r w:rsidRPr="007B034D">
              <w:rPr>
                <w:rFonts w:ascii="Calibri" w:eastAsia="Times New Roman" w:hAnsi="Calibri" w:cs="Calibri"/>
                <w:color w:val="000000"/>
              </w:rPr>
              <w:t>28.4%</w:t>
            </w:r>
          </w:p>
        </w:tc>
      </w:tr>
      <w:tr w:rsidR="007B034D" w:rsidRPr="007B034D" w14:paraId="677F4F0D" w14:textId="77777777" w:rsidTr="007B034D">
        <w:trPr>
          <w:trHeight w:val="576"/>
        </w:trPr>
        <w:tc>
          <w:tcPr>
            <w:tcW w:w="2140" w:type="dxa"/>
            <w:tcBorders>
              <w:top w:val="nil"/>
              <w:left w:val="single" w:sz="4" w:space="0" w:color="000000"/>
              <w:bottom w:val="single" w:sz="4" w:space="0" w:color="000000"/>
              <w:right w:val="single" w:sz="4" w:space="0" w:color="000000"/>
            </w:tcBorders>
            <w:shd w:val="clear" w:color="000000" w:fill="E4DFEC"/>
            <w:vAlign w:val="center"/>
            <w:hideMark/>
          </w:tcPr>
          <w:p w14:paraId="51469352" w14:textId="77777777" w:rsidR="007B034D" w:rsidRPr="007B034D" w:rsidRDefault="007B034D" w:rsidP="007B034D">
            <w:pPr>
              <w:spacing w:after="0" w:line="240" w:lineRule="auto"/>
              <w:rPr>
                <w:rFonts w:ascii="Calibri" w:eastAsia="Times New Roman" w:hAnsi="Calibri" w:cs="Calibri"/>
                <w:b/>
                <w:bCs/>
                <w:color w:val="000000"/>
              </w:rPr>
            </w:pPr>
            <w:r w:rsidRPr="007B034D">
              <w:rPr>
                <w:rFonts w:ascii="Calibri" w:eastAsia="Times New Roman" w:hAnsi="Calibri" w:cs="Calibri"/>
                <w:b/>
                <w:bCs/>
                <w:color w:val="000000"/>
              </w:rPr>
              <w:t>Infectious Disease Outbreak</w:t>
            </w:r>
          </w:p>
        </w:tc>
        <w:tc>
          <w:tcPr>
            <w:tcW w:w="1720" w:type="dxa"/>
            <w:tcBorders>
              <w:top w:val="nil"/>
              <w:left w:val="nil"/>
              <w:bottom w:val="single" w:sz="4" w:space="0" w:color="000000"/>
              <w:right w:val="single" w:sz="4" w:space="0" w:color="000000"/>
            </w:tcBorders>
            <w:shd w:val="clear" w:color="auto" w:fill="auto"/>
            <w:noWrap/>
            <w:vAlign w:val="bottom"/>
            <w:hideMark/>
          </w:tcPr>
          <w:p w14:paraId="1B8E93B2" w14:textId="77777777" w:rsidR="007B034D" w:rsidRPr="007B034D" w:rsidRDefault="007B034D" w:rsidP="007B034D">
            <w:pPr>
              <w:spacing w:after="0" w:line="240" w:lineRule="auto"/>
              <w:jc w:val="right"/>
              <w:rPr>
                <w:rFonts w:ascii="Calibri" w:eastAsia="Times New Roman" w:hAnsi="Calibri" w:cs="Calibri"/>
                <w:color w:val="000000"/>
              </w:rPr>
            </w:pPr>
            <w:r w:rsidRPr="007B034D">
              <w:rPr>
                <w:rFonts w:ascii="Calibri" w:eastAsia="Times New Roman" w:hAnsi="Calibri" w:cs="Calibri"/>
                <w:color w:val="000000"/>
              </w:rPr>
              <w:t>37</w:t>
            </w:r>
          </w:p>
        </w:tc>
        <w:tc>
          <w:tcPr>
            <w:tcW w:w="2740" w:type="dxa"/>
            <w:tcBorders>
              <w:top w:val="nil"/>
              <w:left w:val="nil"/>
              <w:bottom w:val="single" w:sz="4" w:space="0" w:color="000000"/>
              <w:right w:val="single" w:sz="4" w:space="0" w:color="000000"/>
            </w:tcBorders>
            <w:shd w:val="clear" w:color="auto" w:fill="auto"/>
            <w:noWrap/>
            <w:vAlign w:val="bottom"/>
            <w:hideMark/>
          </w:tcPr>
          <w:p w14:paraId="47C4E483" w14:textId="77777777" w:rsidR="007B034D" w:rsidRPr="007B034D" w:rsidRDefault="007B034D" w:rsidP="007B034D">
            <w:pPr>
              <w:spacing w:after="0" w:line="240" w:lineRule="auto"/>
              <w:jc w:val="right"/>
              <w:rPr>
                <w:rFonts w:ascii="Calibri" w:eastAsia="Times New Roman" w:hAnsi="Calibri" w:cs="Calibri"/>
                <w:color w:val="000000"/>
              </w:rPr>
            </w:pPr>
            <w:r w:rsidRPr="007B034D">
              <w:rPr>
                <w:rFonts w:ascii="Calibri" w:eastAsia="Times New Roman" w:hAnsi="Calibri" w:cs="Calibri"/>
                <w:color w:val="000000"/>
              </w:rPr>
              <w:t>27.6%</w:t>
            </w:r>
          </w:p>
        </w:tc>
      </w:tr>
      <w:tr w:rsidR="007B034D" w:rsidRPr="007B034D" w14:paraId="2BD534A9" w14:textId="77777777" w:rsidTr="007B034D">
        <w:trPr>
          <w:trHeight w:val="288"/>
        </w:trPr>
        <w:tc>
          <w:tcPr>
            <w:tcW w:w="2140" w:type="dxa"/>
            <w:tcBorders>
              <w:top w:val="nil"/>
              <w:left w:val="single" w:sz="4" w:space="0" w:color="000000"/>
              <w:bottom w:val="single" w:sz="4" w:space="0" w:color="000000"/>
              <w:right w:val="single" w:sz="4" w:space="0" w:color="000000"/>
            </w:tcBorders>
            <w:shd w:val="clear" w:color="000000" w:fill="E4DFEC"/>
            <w:vAlign w:val="center"/>
            <w:hideMark/>
          </w:tcPr>
          <w:p w14:paraId="1A08A148" w14:textId="77777777" w:rsidR="007B034D" w:rsidRPr="007B034D" w:rsidRDefault="007B034D" w:rsidP="007B034D">
            <w:pPr>
              <w:spacing w:after="0" w:line="240" w:lineRule="auto"/>
              <w:rPr>
                <w:rFonts w:ascii="Calibri" w:eastAsia="Times New Roman" w:hAnsi="Calibri" w:cs="Calibri"/>
                <w:b/>
                <w:bCs/>
                <w:color w:val="000000"/>
              </w:rPr>
            </w:pPr>
            <w:r w:rsidRPr="007B034D">
              <w:rPr>
                <w:rFonts w:ascii="Calibri" w:eastAsia="Times New Roman" w:hAnsi="Calibri" w:cs="Calibri"/>
                <w:b/>
                <w:bCs/>
                <w:color w:val="000000"/>
              </w:rPr>
              <w:t>Invasive Species</w:t>
            </w:r>
          </w:p>
        </w:tc>
        <w:tc>
          <w:tcPr>
            <w:tcW w:w="1720" w:type="dxa"/>
            <w:tcBorders>
              <w:top w:val="nil"/>
              <w:left w:val="nil"/>
              <w:bottom w:val="single" w:sz="4" w:space="0" w:color="000000"/>
              <w:right w:val="single" w:sz="4" w:space="0" w:color="000000"/>
            </w:tcBorders>
            <w:shd w:val="clear" w:color="auto" w:fill="auto"/>
            <w:noWrap/>
            <w:vAlign w:val="bottom"/>
            <w:hideMark/>
          </w:tcPr>
          <w:p w14:paraId="58200EC9" w14:textId="77777777" w:rsidR="007B034D" w:rsidRPr="007B034D" w:rsidRDefault="007B034D" w:rsidP="007B034D">
            <w:pPr>
              <w:spacing w:after="0" w:line="240" w:lineRule="auto"/>
              <w:jc w:val="right"/>
              <w:rPr>
                <w:rFonts w:ascii="Calibri" w:eastAsia="Times New Roman" w:hAnsi="Calibri" w:cs="Calibri"/>
                <w:color w:val="000000"/>
              </w:rPr>
            </w:pPr>
            <w:r w:rsidRPr="007B034D">
              <w:rPr>
                <w:rFonts w:ascii="Calibri" w:eastAsia="Times New Roman" w:hAnsi="Calibri" w:cs="Calibri"/>
                <w:color w:val="000000"/>
              </w:rPr>
              <w:t>36</w:t>
            </w:r>
          </w:p>
        </w:tc>
        <w:tc>
          <w:tcPr>
            <w:tcW w:w="2740" w:type="dxa"/>
            <w:tcBorders>
              <w:top w:val="nil"/>
              <w:left w:val="nil"/>
              <w:bottom w:val="single" w:sz="4" w:space="0" w:color="000000"/>
              <w:right w:val="single" w:sz="4" w:space="0" w:color="000000"/>
            </w:tcBorders>
            <w:shd w:val="clear" w:color="auto" w:fill="auto"/>
            <w:noWrap/>
            <w:vAlign w:val="bottom"/>
            <w:hideMark/>
          </w:tcPr>
          <w:p w14:paraId="60E427BC" w14:textId="77777777" w:rsidR="007B034D" w:rsidRPr="007B034D" w:rsidRDefault="007B034D" w:rsidP="007B034D">
            <w:pPr>
              <w:spacing w:after="0" w:line="240" w:lineRule="auto"/>
              <w:jc w:val="right"/>
              <w:rPr>
                <w:rFonts w:ascii="Calibri" w:eastAsia="Times New Roman" w:hAnsi="Calibri" w:cs="Calibri"/>
                <w:color w:val="000000"/>
              </w:rPr>
            </w:pPr>
            <w:r w:rsidRPr="007B034D">
              <w:rPr>
                <w:rFonts w:ascii="Calibri" w:eastAsia="Times New Roman" w:hAnsi="Calibri" w:cs="Calibri"/>
                <w:color w:val="000000"/>
              </w:rPr>
              <w:t>26.9%</w:t>
            </w:r>
          </w:p>
        </w:tc>
      </w:tr>
      <w:tr w:rsidR="007B034D" w:rsidRPr="007B034D" w14:paraId="658E0B9D" w14:textId="77777777" w:rsidTr="007B034D">
        <w:trPr>
          <w:trHeight w:val="288"/>
        </w:trPr>
        <w:tc>
          <w:tcPr>
            <w:tcW w:w="2140" w:type="dxa"/>
            <w:tcBorders>
              <w:top w:val="nil"/>
              <w:left w:val="single" w:sz="4" w:space="0" w:color="000000"/>
              <w:bottom w:val="single" w:sz="4" w:space="0" w:color="000000"/>
              <w:right w:val="single" w:sz="4" w:space="0" w:color="000000"/>
            </w:tcBorders>
            <w:shd w:val="clear" w:color="000000" w:fill="E4DFEC"/>
            <w:vAlign w:val="center"/>
            <w:hideMark/>
          </w:tcPr>
          <w:p w14:paraId="2D51F74F" w14:textId="77777777" w:rsidR="007B034D" w:rsidRPr="007B034D" w:rsidRDefault="007B034D" w:rsidP="007B034D">
            <w:pPr>
              <w:spacing w:after="0" w:line="240" w:lineRule="auto"/>
              <w:rPr>
                <w:rFonts w:ascii="Calibri" w:eastAsia="Times New Roman" w:hAnsi="Calibri" w:cs="Calibri"/>
                <w:b/>
                <w:bCs/>
                <w:color w:val="000000"/>
              </w:rPr>
            </w:pPr>
            <w:r w:rsidRPr="007B034D">
              <w:rPr>
                <w:rFonts w:ascii="Calibri" w:eastAsia="Times New Roman" w:hAnsi="Calibri" w:cs="Calibri"/>
                <w:b/>
                <w:bCs/>
                <w:color w:val="000000"/>
              </w:rPr>
              <w:t>Extreme Heat</w:t>
            </w:r>
          </w:p>
        </w:tc>
        <w:tc>
          <w:tcPr>
            <w:tcW w:w="1720" w:type="dxa"/>
            <w:tcBorders>
              <w:top w:val="nil"/>
              <w:left w:val="nil"/>
              <w:bottom w:val="single" w:sz="4" w:space="0" w:color="000000"/>
              <w:right w:val="single" w:sz="4" w:space="0" w:color="000000"/>
            </w:tcBorders>
            <w:shd w:val="clear" w:color="auto" w:fill="auto"/>
            <w:noWrap/>
            <w:vAlign w:val="bottom"/>
            <w:hideMark/>
          </w:tcPr>
          <w:p w14:paraId="3C896937" w14:textId="77777777" w:rsidR="007B034D" w:rsidRPr="007B034D" w:rsidRDefault="007B034D" w:rsidP="007B034D">
            <w:pPr>
              <w:spacing w:after="0" w:line="240" w:lineRule="auto"/>
              <w:jc w:val="right"/>
              <w:rPr>
                <w:rFonts w:ascii="Calibri" w:eastAsia="Times New Roman" w:hAnsi="Calibri" w:cs="Calibri"/>
                <w:color w:val="000000"/>
              </w:rPr>
            </w:pPr>
            <w:r w:rsidRPr="007B034D">
              <w:rPr>
                <w:rFonts w:ascii="Calibri" w:eastAsia="Times New Roman" w:hAnsi="Calibri" w:cs="Calibri"/>
                <w:color w:val="000000"/>
              </w:rPr>
              <w:t>36</w:t>
            </w:r>
          </w:p>
        </w:tc>
        <w:tc>
          <w:tcPr>
            <w:tcW w:w="2740" w:type="dxa"/>
            <w:tcBorders>
              <w:top w:val="nil"/>
              <w:left w:val="nil"/>
              <w:bottom w:val="single" w:sz="4" w:space="0" w:color="000000"/>
              <w:right w:val="single" w:sz="4" w:space="0" w:color="000000"/>
            </w:tcBorders>
            <w:shd w:val="clear" w:color="auto" w:fill="auto"/>
            <w:noWrap/>
            <w:vAlign w:val="bottom"/>
            <w:hideMark/>
          </w:tcPr>
          <w:p w14:paraId="7E9642CF" w14:textId="77777777" w:rsidR="007B034D" w:rsidRPr="007B034D" w:rsidRDefault="007B034D" w:rsidP="007B034D">
            <w:pPr>
              <w:spacing w:after="0" w:line="240" w:lineRule="auto"/>
              <w:jc w:val="right"/>
              <w:rPr>
                <w:rFonts w:ascii="Calibri" w:eastAsia="Times New Roman" w:hAnsi="Calibri" w:cs="Calibri"/>
                <w:color w:val="000000"/>
              </w:rPr>
            </w:pPr>
            <w:r w:rsidRPr="007B034D">
              <w:rPr>
                <w:rFonts w:ascii="Calibri" w:eastAsia="Times New Roman" w:hAnsi="Calibri" w:cs="Calibri"/>
                <w:color w:val="000000"/>
              </w:rPr>
              <w:t>26.9%</w:t>
            </w:r>
          </w:p>
        </w:tc>
      </w:tr>
      <w:tr w:rsidR="007B034D" w:rsidRPr="007B034D" w14:paraId="32660457" w14:textId="77777777" w:rsidTr="007B034D">
        <w:trPr>
          <w:trHeight w:val="576"/>
        </w:trPr>
        <w:tc>
          <w:tcPr>
            <w:tcW w:w="2140" w:type="dxa"/>
            <w:tcBorders>
              <w:top w:val="nil"/>
              <w:left w:val="single" w:sz="4" w:space="0" w:color="000000"/>
              <w:bottom w:val="single" w:sz="4" w:space="0" w:color="000000"/>
              <w:right w:val="single" w:sz="4" w:space="0" w:color="000000"/>
            </w:tcBorders>
            <w:shd w:val="clear" w:color="000000" w:fill="E4DFEC"/>
            <w:vAlign w:val="center"/>
            <w:hideMark/>
          </w:tcPr>
          <w:p w14:paraId="15606F2A" w14:textId="77777777" w:rsidR="007B034D" w:rsidRPr="007B034D" w:rsidRDefault="007B034D" w:rsidP="007B034D">
            <w:pPr>
              <w:spacing w:after="0" w:line="240" w:lineRule="auto"/>
              <w:rPr>
                <w:rFonts w:ascii="Calibri" w:eastAsia="Times New Roman" w:hAnsi="Calibri" w:cs="Calibri"/>
                <w:b/>
                <w:bCs/>
                <w:color w:val="000000"/>
              </w:rPr>
            </w:pPr>
            <w:r w:rsidRPr="007B034D">
              <w:rPr>
                <w:rFonts w:ascii="Calibri" w:eastAsia="Times New Roman" w:hAnsi="Calibri" w:cs="Calibri"/>
                <w:b/>
                <w:bCs/>
                <w:color w:val="000000"/>
              </w:rPr>
              <w:t>Extreme Temperatures</w:t>
            </w:r>
          </w:p>
        </w:tc>
        <w:tc>
          <w:tcPr>
            <w:tcW w:w="1720" w:type="dxa"/>
            <w:tcBorders>
              <w:top w:val="nil"/>
              <w:left w:val="nil"/>
              <w:bottom w:val="single" w:sz="4" w:space="0" w:color="000000"/>
              <w:right w:val="single" w:sz="4" w:space="0" w:color="000000"/>
            </w:tcBorders>
            <w:shd w:val="clear" w:color="auto" w:fill="auto"/>
            <w:noWrap/>
            <w:vAlign w:val="bottom"/>
            <w:hideMark/>
          </w:tcPr>
          <w:p w14:paraId="2F954BAA" w14:textId="77777777" w:rsidR="007B034D" w:rsidRPr="007B034D" w:rsidRDefault="007B034D" w:rsidP="007B034D">
            <w:pPr>
              <w:spacing w:after="0" w:line="240" w:lineRule="auto"/>
              <w:jc w:val="right"/>
              <w:rPr>
                <w:rFonts w:ascii="Calibri" w:eastAsia="Times New Roman" w:hAnsi="Calibri" w:cs="Calibri"/>
                <w:color w:val="000000"/>
              </w:rPr>
            </w:pPr>
            <w:r w:rsidRPr="007B034D">
              <w:rPr>
                <w:rFonts w:ascii="Calibri" w:eastAsia="Times New Roman" w:hAnsi="Calibri" w:cs="Calibri"/>
                <w:color w:val="000000"/>
              </w:rPr>
              <w:t>33</w:t>
            </w:r>
          </w:p>
        </w:tc>
        <w:tc>
          <w:tcPr>
            <w:tcW w:w="2740" w:type="dxa"/>
            <w:tcBorders>
              <w:top w:val="nil"/>
              <w:left w:val="nil"/>
              <w:bottom w:val="single" w:sz="4" w:space="0" w:color="000000"/>
              <w:right w:val="single" w:sz="4" w:space="0" w:color="000000"/>
            </w:tcBorders>
            <w:shd w:val="clear" w:color="auto" w:fill="auto"/>
            <w:noWrap/>
            <w:vAlign w:val="bottom"/>
            <w:hideMark/>
          </w:tcPr>
          <w:p w14:paraId="0D849573" w14:textId="77777777" w:rsidR="007B034D" w:rsidRPr="007B034D" w:rsidRDefault="007B034D" w:rsidP="007B034D">
            <w:pPr>
              <w:spacing w:after="0" w:line="240" w:lineRule="auto"/>
              <w:jc w:val="right"/>
              <w:rPr>
                <w:rFonts w:ascii="Calibri" w:eastAsia="Times New Roman" w:hAnsi="Calibri" w:cs="Calibri"/>
                <w:color w:val="000000"/>
              </w:rPr>
            </w:pPr>
            <w:r w:rsidRPr="007B034D">
              <w:rPr>
                <w:rFonts w:ascii="Calibri" w:eastAsia="Times New Roman" w:hAnsi="Calibri" w:cs="Calibri"/>
                <w:color w:val="000000"/>
              </w:rPr>
              <w:t>24.6%</w:t>
            </w:r>
          </w:p>
        </w:tc>
      </w:tr>
      <w:tr w:rsidR="007B034D" w:rsidRPr="007B034D" w14:paraId="78EBF717" w14:textId="77777777" w:rsidTr="007B034D">
        <w:trPr>
          <w:trHeight w:val="288"/>
        </w:trPr>
        <w:tc>
          <w:tcPr>
            <w:tcW w:w="2140" w:type="dxa"/>
            <w:tcBorders>
              <w:top w:val="nil"/>
              <w:left w:val="single" w:sz="4" w:space="0" w:color="000000"/>
              <w:bottom w:val="single" w:sz="4" w:space="0" w:color="000000"/>
              <w:right w:val="single" w:sz="4" w:space="0" w:color="000000"/>
            </w:tcBorders>
            <w:shd w:val="clear" w:color="000000" w:fill="E4DFEC"/>
            <w:vAlign w:val="center"/>
            <w:hideMark/>
          </w:tcPr>
          <w:p w14:paraId="0EC153DA" w14:textId="77777777" w:rsidR="007B034D" w:rsidRPr="007B034D" w:rsidRDefault="007B034D" w:rsidP="007B034D">
            <w:pPr>
              <w:spacing w:after="0" w:line="240" w:lineRule="auto"/>
              <w:rPr>
                <w:rFonts w:ascii="Calibri" w:eastAsia="Times New Roman" w:hAnsi="Calibri" w:cs="Calibri"/>
                <w:b/>
                <w:bCs/>
                <w:color w:val="000000"/>
              </w:rPr>
            </w:pPr>
            <w:r w:rsidRPr="007B034D">
              <w:rPr>
                <w:rFonts w:ascii="Calibri" w:eastAsia="Times New Roman" w:hAnsi="Calibri" w:cs="Calibri"/>
                <w:b/>
                <w:bCs/>
                <w:color w:val="000000"/>
              </w:rPr>
              <w:t>Dam Failure</w:t>
            </w:r>
          </w:p>
        </w:tc>
        <w:tc>
          <w:tcPr>
            <w:tcW w:w="1720" w:type="dxa"/>
            <w:tcBorders>
              <w:top w:val="nil"/>
              <w:left w:val="nil"/>
              <w:bottom w:val="single" w:sz="4" w:space="0" w:color="000000"/>
              <w:right w:val="single" w:sz="4" w:space="0" w:color="000000"/>
            </w:tcBorders>
            <w:shd w:val="clear" w:color="auto" w:fill="auto"/>
            <w:noWrap/>
            <w:vAlign w:val="bottom"/>
            <w:hideMark/>
          </w:tcPr>
          <w:p w14:paraId="29BA884C" w14:textId="77777777" w:rsidR="007B034D" w:rsidRPr="007B034D" w:rsidRDefault="007B034D" w:rsidP="007B034D">
            <w:pPr>
              <w:spacing w:after="0" w:line="240" w:lineRule="auto"/>
              <w:jc w:val="right"/>
              <w:rPr>
                <w:rFonts w:ascii="Calibri" w:eastAsia="Times New Roman" w:hAnsi="Calibri" w:cs="Calibri"/>
                <w:color w:val="000000"/>
              </w:rPr>
            </w:pPr>
            <w:r w:rsidRPr="007B034D">
              <w:rPr>
                <w:rFonts w:ascii="Calibri" w:eastAsia="Times New Roman" w:hAnsi="Calibri" w:cs="Calibri"/>
                <w:color w:val="000000"/>
              </w:rPr>
              <w:t>32</w:t>
            </w:r>
          </w:p>
        </w:tc>
        <w:tc>
          <w:tcPr>
            <w:tcW w:w="2740" w:type="dxa"/>
            <w:tcBorders>
              <w:top w:val="nil"/>
              <w:left w:val="nil"/>
              <w:bottom w:val="single" w:sz="4" w:space="0" w:color="000000"/>
              <w:right w:val="single" w:sz="4" w:space="0" w:color="000000"/>
            </w:tcBorders>
            <w:shd w:val="clear" w:color="auto" w:fill="auto"/>
            <w:noWrap/>
            <w:vAlign w:val="bottom"/>
            <w:hideMark/>
          </w:tcPr>
          <w:p w14:paraId="740B84A1" w14:textId="77777777" w:rsidR="007B034D" w:rsidRPr="007B034D" w:rsidRDefault="007B034D" w:rsidP="007B034D">
            <w:pPr>
              <w:spacing w:after="0" w:line="240" w:lineRule="auto"/>
              <w:jc w:val="right"/>
              <w:rPr>
                <w:rFonts w:ascii="Calibri" w:eastAsia="Times New Roman" w:hAnsi="Calibri" w:cs="Calibri"/>
                <w:color w:val="000000"/>
              </w:rPr>
            </w:pPr>
            <w:r w:rsidRPr="007B034D">
              <w:rPr>
                <w:rFonts w:ascii="Calibri" w:eastAsia="Times New Roman" w:hAnsi="Calibri" w:cs="Calibri"/>
                <w:color w:val="000000"/>
              </w:rPr>
              <w:t>23.9%</w:t>
            </w:r>
          </w:p>
        </w:tc>
      </w:tr>
      <w:tr w:rsidR="007B034D" w:rsidRPr="007B034D" w14:paraId="101E8558" w14:textId="77777777" w:rsidTr="007B034D">
        <w:trPr>
          <w:trHeight w:val="288"/>
        </w:trPr>
        <w:tc>
          <w:tcPr>
            <w:tcW w:w="2140" w:type="dxa"/>
            <w:tcBorders>
              <w:top w:val="nil"/>
              <w:left w:val="single" w:sz="4" w:space="0" w:color="000000"/>
              <w:bottom w:val="single" w:sz="4" w:space="0" w:color="000000"/>
              <w:right w:val="single" w:sz="4" w:space="0" w:color="000000"/>
            </w:tcBorders>
            <w:shd w:val="clear" w:color="000000" w:fill="E4DFEC"/>
            <w:vAlign w:val="center"/>
            <w:hideMark/>
          </w:tcPr>
          <w:p w14:paraId="0F732F0F" w14:textId="77777777" w:rsidR="007B034D" w:rsidRPr="007B034D" w:rsidRDefault="007B034D" w:rsidP="007B034D">
            <w:pPr>
              <w:spacing w:after="0" w:line="240" w:lineRule="auto"/>
              <w:rPr>
                <w:rFonts w:ascii="Calibri" w:eastAsia="Times New Roman" w:hAnsi="Calibri" w:cs="Calibri"/>
                <w:b/>
                <w:bCs/>
                <w:color w:val="000000"/>
              </w:rPr>
            </w:pPr>
            <w:r w:rsidRPr="007B034D">
              <w:rPr>
                <w:rFonts w:ascii="Calibri" w:eastAsia="Times New Roman" w:hAnsi="Calibri" w:cs="Calibri"/>
                <w:b/>
                <w:bCs/>
                <w:color w:val="000000"/>
              </w:rPr>
              <w:t>Tornadoes</w:t>
            </w:r>
          </w:p>
        </w:tc>
        <w:tc>
          <w:tcPr>
            <w:tcW w:w="1720" w:type="dxa"/>
            <w:tcBorders>
              <w:top w:val="nil"/>
              <w:left w:val="nil"/>
              <w:bottom w:val="single" w:sz="4" w:space="0" w:color="000000"/>
              <w:right w:val="single" w:sz="4" w:space="0" w:color="000000"/>
            </w:tcBorders>
            <w:shd w:val="clear" w:color="auto" w:fill="auto"/>
            <w:noWrap/>
            <w:vAlign w:val="bottom"/>
            <w:hideMark/>
          </w:tcPr>
          <w:p w14:paraId="50E1161C" w14:textId="77777777" w:rsidR="007B034D" w:rsidRPr="007B034D" w:rsidRDefault="007B034D" w:rsidP="007B034D">
            <w:pPr>
              <w:spacing w:after="0" w:line="240" w:lineRule="auto"/>
              <w:jc w:val="right"/>
              <w:rPr>
                <w:rFonts w:ascii="Calibri" w:eastAsia="Times New Roman" w:hAnsi="Calibri" w:cs="Calibri"/>
                <w:color w:val="000000"/>
              </w:rPr>
            </w:pPr>
            <w:r w:rsidRPr="007B034D">
              <w:rPr>
                <w:rFonts w:ascii="Calibri" w:eastAsia="Times New Roman" w:hAnsi="Calibri" w:cs="Calibri"/>
                <w:color w:val="000000"/>
              </w:rPr>
              <w:t>27</w:t>
            </w:r>
          </w:p>
        </w:tc>
        <w:tc>
          <w:tcPr>
            <w:tcW w:w="2740" w:type="dxa"/>
            <w:tcBorders>
              <w:top w:val="nil"/>
              <w:left w:val="nil"/>
              <w:bottom w:val="single" w:sz="4" w:space="0" w:color="000000"/>
              <w:right w:val="single" w:sz="4" w:space="0" w:color="000000"/>
            </w:tcBorders>
            <w:shd w:val="clear" w:color="auto" w:fill="auto"/>
            <w:noWrap/>
            <w:vAlign w:val="bottom"/>
            <w:hideMark/>
          </w:tcPr>
          <w:p w14:paraId="661A0AD5" w14:textId="77777777" w:rsidR="007B034D" w:rsidRPr="007B034D" w:rsidRDefault="007B034D" w:rsidP="007B034D">
            <w:pPr>
              <w:spacing w:after="0" w:line="240" w:lineRule="auto"/>
              <w:jc w:val="right"/>
              <w:rPr>
                <w:rFonts w:ascii="Calibri" w:eastAsia="Times New Roman" w:hAnsi="Calibri" w:cs="Calibri"/>
                <w:color w:val="000000"/>
              </w:rPr>
            </w:pPr>
            <w:r w:rsidRPr="007B034D">
              <w:rPr>
                <w:rFonts w:ascii="Calibri" w:eastAsia="Times New Roman" w:hAnsi="Calibri" w:cs="Calibri"/>
                <w:color w:val="000000"/>
              </w:rPr>
              <w:t>20.1%</w:t>
            </w:r>
          </w:p>
        </w:tc>
      </w:tr>
      <w:tr w:rsidR="007B034D" w:rsidRPr="007B034D" w14:paraId="30432DA0" w14:textId="77777777" w:rsidTr="007B034D">
        <w:trPr>
          <w:trHeight w:val="432"/>
        </w:trPr>
        <w:tc>
          <w:tcPr>
            <w:tcW w:w="2140" w:type="dxa"/>
            <w:tcBorders>
              <w:top w:val="nil"/>
              <w:left w:val="single" w:sz="4" w:space="0" w:color="000000"/>
              <w:bottom w:val="single" w:sz="4" w:space="0" w:color="000000"/>
              <w:right w:val="single" w:sz="4" w:space="0" w:color="000000"/>
            </w:tcBorders>
            <w:shd w:val="clear" w:color="000000" w:fill="E4DFEC"/>
            <w:vAlign w:val="center"/>
            <w:hideMark/>
          </w:tcPr>
          <w:p w14:paraId="7DEE2D06" w14:textId="77777777" w:rsidR="007B034D" w:rsidRPr="007B034D" w:rsidRDefault="007B034D" w:rsidP="007B034D">
            <w:pPr>
              <w:spacing w:after="0" w:line="240" w:lineRule="auto"/>
              <w:rPr>
                <w:rFonts w:ascii="Calibri" w:eastAsia="Times New Roman" w:hAnsi="Calibri" w:cs="Calibri"/>
                <w:b/>
                <w:bCs/>
                <w:color w:val="000000"/>
              </w:rPr>
            </w:pPr>
            <w:r w:rsidRPr="007B034D">
              <w:rPr>
                <w:rFonts w:ascii="Calibri" w:eastAsia="Times New Roman" w:hAnsi="Calibri" w:cs="Calibri"/>
                <w:b/>
                <w:bCs/>
                <w:color w:val="000000"/>
              </w:rPr>
              <w:t>Ice Jams</w:t>
            </w:r>
          </w:p>
        </w:tc>
        <w:tc>
          <w:tcPr>
            <w:tcW w:w="1720" w:type="dxa"/>
            <w:tcBorders>
              <w:top w:val="nil"/>
              <w:left w:val="nil"/>
              <w:bottom w:val="single" w:sz="4" w:space="0" w:color="000000"/>
              <w:right w:val="single" w:sz="4" w:space="0" w:color="000000"/>
            </w:tcBorders>
            <w:shd w:val="clear" w:color="auto" w:fill="auto"/>
            <w:noWrap/>
            <w:vAlign w:val="bottom"/>
            <w:hideMark/>
          </w:tcPr>
          <w:p w14:paraId="354237E4" w14:textId="77777777" w:rsidR="007B034D" w:rsidRPr="007B034D" w:rsidRDefault="007B034D" w:rsidP="007B034D">
            <w:pPr>
              <w:spacing w:after="0" w:line="240" w:lineRule="auto"/>
              <w:jc w:val="right"/>
              <w:rPr>
                <w:rFonts w:ascii="Calibri" w:eastAsia="Times New Roman" w:hAnsi="Calibri" w:cs="Calibri"/>
                <w:color w:val="000000"/>
              </w:rPr>
            </w:pPr>
            <w:r w:rsidRPr="007B034D">
              <w:rPr>
                <w:rFonts w:ascii="Calibri" w:eastAsia="Times New Roman" w:hAnsi="Calibri" w:cs="Calibri"/>
                <w:color w:val="000000"/>
              </w:rPr>
              <w:t>26</w:t>
            </w:r>
          </w:p>
        </w:tc>
        <w:tc>
          <w:tcPr>
            <w:tcW w:w="2740" w:type="dxa"/>
            <w:tcBorders>
              <w:top w:val="nil"/>
              <w:left w:val="nil"/>
              <w:bottom w:val="single" w:sz="4" w:space="0" w:color="000000"/>
              <w:right w:val="single" w:sz="4" w:space="0" w:color="000000"/>
            </w:tcBorders>
            <w:shd w:val="clear" w:color="auto" w:fill="auto"/>
            <w:noWrap/>
            <w:vAlign w:val="bottom"/>
            <w:hideMark/>
          </w:tcPr>
          <w:p w14:paraId="4866F148" w14:textId="77777777" w:rsidR="007B034D" w:rsidRPr="007B034D" w:rsidRDefault="007B034D" w:rsidP="007B034D">
            <w:pPr>
              <w:spacing w:after="0" w:line="240" w:lineRule="auto"/>
              <w:jc w:val="right"/>
              <w:rPr>
                <w:rFonts w:ascii="Calibri" w:eastAsia="Times New Roman" w:hAnsi="Calibri" w:cs="Calibri"/>
                <w:color w:val="000000"/>
              </w:rPr>
            </w:pPr>
            <w:r w:rsidRPr="007B034D">
              <w:rPr>
                <w:rFonts w:ascii="Calibri" w:eastAsia="Times New Roman" w:hAnsi="Calibri" w:cs="Calibri"/>
                <w:color w:val="000000"/>
              </w:rPr>
              <w:t>19.4%</w:t>
            </w:r>
          </w:p>
        </w:tc>
      </w:tr>
      <w:tr w:rsidR="007B034D" w:rsidRPr="007B034D" w14:paraId="6D000C59" w14:textId="77777777" w:rsidTr="007B034D">
        <w:trPr>
          <w:trHeight w:val="288"/>
        </w:trPr>
        <w:tc>
          <w:tcPr>
            <w:tcW w:w="2140" w:type="dxa"/>
            <w:tcBorders>
              <w:top w:val="nil"/>
              <w:left w:val="single" w:sz="4" w:space="0" w:color="000000"/>
              <w:bottom w:val="single" w:sz="4" w:space="0" w:color="000000"/>
              <w:right w:val="single" w:sz="4" w:space="0" w:color="000000"/>
            </w:tcBorders>
            <w:shd w:val="clear" w:color="000000" w:fill="E4DFEC"/>
            <w:vAlign w:val="center"/>
            <w:hideMark/>
          </w:tcPr>
          <w:p w14:paraId="1C3A1E21" w14:textId="77777777" w:rsidR="007B034D" w:rsidRPr="007B034D" w:rsidRDefault="007B034D" w:rsidP="007B034D">
            <w:pPr>
              <w:spacing w:after="0" w:line="240" w:lineRule="auto"/>
              <w:rPr>
                <w:rFonts w:ascii="Calibri" w:eastAsia="Times New Roman" w:hAnsi="Calibri" w:cs="Calibri"/>
                <w:b/>
                <w:bCs/>
                <w:color w:val="000000"/>
              </w:rPr>
            </w:pPr>
            <w:r w:rsidRPr="007B034D">
              <w:rPr>
                <w:rFonts w:ascii="Calibri" w:eastAsia="Times New Roman" w:hAnsi="Calibri" w:cs="Calibri"/>
                <w:b/>
                <w:bCs/>
                <w:color w:val="000000"/>
              </w:rPr>
              <w:t>Lightning</w:t>
            </w:r>
          </w:p>
        </w:tc>
        <w:tc>
          <w:tcPr>
            <w:tcW w:w="1720" w:type="dxa"/>
            <w:tcBorders>
              <w:top w:val="nil"/>
              <w:left w:val="nil"/>
              <w:bottom w:val="single" w:sz="4" w:space="0" w:color="000000"/>
              <w:right w:val="single" w:sz="4" w:space="0" w:color="000000"/>
            </w:tcBorders>
            <w:shd w:val="clear" w:color="auto" w:fill="auto"/>
            <w:noWrap/>
            <w:vAlign w:val="bottom"/>
            <w:hideMark/>
          </w:tcPr>
          <w:p w14:paraId="7CA2AB01" w14:textId="77777777" w:rsidR="007B034D" w:rsidRPr="007B034D" w:rsidRDefault="007B034D" w:rsidP="007B034D">
            <w:pPr>
              <w:spacing w:after="0" w:line="240" w:lineRule="auto"/>
              <w:jc w:val="right"/>
              <w:rPr>
                <w:rFonts w:ascii="Calibri" w:eastAsia="Times New Roman" w:hAnsi="Calibri" w:cs="Calibri"/>
                <w:color w:val="000000"/>
              </w:rPr>
            </w:pPr>
            <w:r w:rsidRPr="007B034D">
              <w:rPr>
                <w:rFonts w:ascii="Calibri" w:eastAsia="Times New Roman" w:hAnsi="Calibri" w:cs="Calibri"/>
                <w:color w:val="000000"/>
              </w:rPr>
              <w:t>26</w:t>
            </w:r>
          </w:p>
        </w:tc>
        <w:tc>
          <w:tcPr>
            <w:tcW w:w="2740" w:type="dxa"/>
            <w:tcBorders>
              <w:top w:val="nil"/>
              <w:left w:val="nil"/>
              <w:bottom w:val="single" w:sz="4" w:space="0" w:color="000000"/>
              <w:right w:val="single" w:sz="4" w:space="0" w:color="000000"/>
            </w:tcBorders>
            <w:shd w:val="clear" w:color="auto" w:fill="auto"/>
            <w:noWrap/>
            <w:vAlign w:val="bottom"/>
            <w:hideMark/>
          </w:tcPr>
          <w:p w14:paraId="07874F76" w14:textId="77777777" w:rsidR="007B034D" w:rsidRPr="007B034D" w:rsidRDefault="007B034D" w:rsidP="007B034D">
            <w:pPr>
              <w:spacing w:after="0" w:line="240" w:lineRule="auto"/>
              <w:jc w:val="right"/>
              <w:rPr>
                <w:rFonts w:ascii="Calibri" w:eastAsia="Times New Roman" w:hAnsi="Calibri" w:cs="Calibri"/>
                <w:color w:val="000000"/>
              </w:rPr>
            </w:pPr>
            <w:r w:rsidRPr="007B034D">
              <w:rPr>
                <w:rFonts w:ascii="Calibri" w:eastAsia="Times New Roman" w:hAnsi="Calibri" w:cs="Calibri"/>
                <w:color w:val="000000"/>
              </w:rPr>
              <w:t>19.4%</w:t>
            </w:r>
          </w:p>
        </w:tc>
      </w:tr>
    </w:tbl>
    <w:p w14:paraId="6C135165" w14:textId="4B02CE5C" w:rsidR="001F2F0E" w:rsidRPr="00992740" w:rsidRDefault="00C764B6" w:rsidP="00BA2D76">
      <w:pPr>
        <w:pStyle w:val="BasicParagraph"/>
        <w:rPr>
          <w:sz w:val="20"/>
          <w:szCs w:val="20"/>
        </w:rPr>
      </w:pPr>
      <w:r w:rsidRPr="004A2DB4">
        <w:rPr>
          <w:sz w:val="20"/>
          <w:szCs w:val="20"/>
        </w:rPr>
        <w:t xml:space="preserve">* There are 134 plans </w:t>
      </w:r>
      <w:r w:rsidR="004A2DB4" w:rsidRPr="004A2DB4">
        <w:rPr>
          <w:sz w:val="20"/>
          <w:szCs w:val="20"/>
        </w:rPr>
        <w:t xml:space="preserve">approved between 2017 and 2023. Some plans are multijurisdictional. </w:t>
      </w:r>
    </w:p>
    <w:p w14:paraId="4835FDA9" w14:textId="77777777" w:rsidR="00E636BD" w:rsidRDefault="00E636BD" w:rsidP="00BA2D76">
      <w:pPr>
        <w:pStyle w:val="BasicParagraph"/>
        <w:rPr>
          <w:sz w:val="22"/>
          <w:szCs w:val="22"/>
        </w:rPr>
      </w:pPr>
    </w:p>
    <w:p w14:paraId="529AA6E4" w14:textId="07169B05" w:rsidR="007303B5" w:rsidRDefault="008504AB" w:rsidP="00BA2D76">
      <w:pPr>
        <w:pStyle w:val="BasicParagraph"/>
        <w:rPr>
          <w:sz w:val="22"/>
          <w:szCs w:val="22"/>
        </w:rPr>
      </w:pPr>
      <w:r>
        <w:rPr>
          <w:sz w:val="22"/>
          <w:szCs w:val="22"/>
        </w:rPr>
        <w:t xml:space="preserve">The ranking of hazards at the State level verses the regional and local levels does have some discrepancies. </w:t>
      </w:r>
      <w:r w:rsidR="00E934F6">
        <w:rPr>
          <w:sz w:val="22"/>
          <w:szCs w:val="22"/>
        </w:rPr>
        <w:t xml:space="preserve">Flooding and fluvial erosion are clearly ranked first </w:t>
      </w:r>
      <w:r w:rsidR="002E06DC">
        <w:rPr>
          <w:sz w:val="22"/>
          <w:szCs w:val="22"/>
        </w:rPr>
        <w:t>across the board</w:t>
      </w:r>
      <w:r w:rsidR="002E0A33">
        <w:rPr>
          <w:sz w:val="22"/>
          <w:szCs w:val="22"/>
        </w:rPr>
        <w:t xml:space="preserve"> because many</w:t>
      </w:r>
      <w:r w:rsidR="00C92B3F">
        <w:rPr>
          <w:sz w:val="22"/>
          <w:szCs w:val="22"/>
        </w:rPr>
        <w:t xml:space="preserve"> of</w:t>
      </w:r>
      <w:r w:rsidR="002E0A33">
        <w:rPr>
          <w:sz w:val="22"/>
          <w:szCs w:val="22"/>
        </w:rPr>
        <w:t xml:space="preserve"> Vermont’s </w:t>
      </w:r>
      <w:r w:rsidR="00EF5428">
        <w:rPr>
          <w:sz w:val="22"/>
          <w:szCs w:val="22"/>
        </w:rPr>
        <w:t xml:space="preserve">communities have experienced or seen flooding and fluvial erosion and the devastation it causes </w:t>
      </w:r>
      <w:r w:rsidR="00C92B3F">
        <w:rPr>
          <w:sz w:val="22"/>
          <w:szCs w:val="22"/>
        </w:rPr>
        <w:t>firsthand</w:t>
      </w:r>
      <w:r w:rsidR="00EF5428">
        <w:rPr>
          <w:sz w:val="22"/>
          <w:szCs w:val="22"/>
        </w:rPr>
        <w:t>.</w:t>
      </w:r>
      <w:r w:rsidR="001C2BE2">
        <w:rPr>
          <w:sz w:val="22"/>
          <w:szCs w:val="22"/>
        </w:rPr>
        <w:t xml:space="preserve"> Similarly, snow and ice rank higher in the local assessment over the State hazard assessment. </w:t>
      </w:r>
      <w:r w:rsidR="003430C6">
        <w:rPr>
          <w:sz w:val="22"/>
          <w:szCs w:val="22"/>
        </w:rPr>
        <w:t xml:space="preserve">The greatest discrepancy between the State and local assessments is in the ranking of heat </w:t>
      </w:r>
      <w:r w:rsidR="009D2AB2">
        <w:rPr>
          <w:sz w:val="22"/>
          <w:szCs w:val="22"/>
        </w:rPr>
        <w:t xml:space="preserve">as a priority hazard. </w:t>
      </w:r>
      <w:r w:rsidR="006F098E">
        <w:rPr>
          <w:sz w:val="22"/>
          <w:szCs w:val="22"/>
        </w:rPr>
        <w:t>Historically speaking, heat has not been a major hazar</w:t>
      </w:r>
      <w:r w:rsidR="00CA7D81">
        <w:rPr>
          <w:sz w:val="22"/>
          <w:szCs w:val="22"/>
        </w:rPr>
        <w:t xml:space="preserve">d due to a typically cooler climate given </w:t>
      </w:r>
      <w:r w:rsidR="00A9150C">
        <w:rPr>
          <w:sz w:val="22"/>
          <w:szCs w:val="22"/>
        </w:rPr>
        <w:t>the northerly latitude of Vermont</w:t>
      </w:r>
      <w:r w:rsidR="00EA7851">
        <w:rPr>
          <w:sz w:val="22"/>
          <w:szCs w:val="22"/>
        </w:rPr>
        <w:t xml:space="preserve">. </w:t>
      </w:r>
      <w:r w:rsidR="00E4784D">
        <w:rPr>
          <w:sz w:val="22"/>
          <w:szCs w:val="22"/>
        </w:rPr>
        <w:t xml:space="preserve">Annual average temperatures and extreme temperatures are on the rise however, </w:t>
      </w:r>
      <w:r w:rsidR="00CA6BEF">
        <w:rPr>
          <w:sz w:val="22"/>
          <w:szCs w:val="22"/>
        </w:rPr>
        <w:t>and there are observed impacts to people, environment, and infrast</w:t>
      </w:r>
      <w:r w:rsidR="00215E4B">
        <w:rPr>
          <w:sz w:val="22"/>
          <w:szCs w:val="22"/>
        </w:rPr>
        <w:t xml:space="preserve">ructure that have impacts on the economy. </w:t>
      </w:r>
      <w:r w:rsidR="00516890">
        <w:rPr>
          <w:sz w:val="22"/>
          <w:szCs w:val="22"/>
        </w:rPr>
        <w:t xml:space="preserve">We expect </w:t>
      </w:r>
      <w:r w:rsidR="00F864AF">
        <w:rPr>
          <w:sz w:val="22"/>
          <w:szCs w:val="22"/>
        </w:rPr>
        <w:t xml:space="preserve">extreme </w:t>
      </w:r>
      <w:r w:rsidR="00516890">
        <w:rPr>
          <w:sz w:val="22"/>
          <w:szCs w:val="22"/>
        </w:rPr>
        <w:t xml:space="preserve">heat to </w:t>
      </w:r>
      <w:r w:rsidR="00F864AF">
        <w:rPr>
          <w:sz w:val="22"/>
          <w:szCs w:val="22"/>
        </w:rPr>
        <w:t>become a more common hazard prioritized in Local Hazard Mitigation Plans</w:t>
      </w:r>
      <w:r w:rsidR="00E975DD">
        <w:rPr>
          <w:sz w:val="22"/>
          <w:szCs w:val="22"/>
        </w:rPr>
        <w:t xml:space="preserve"> over the coming years. </w:t>
      </w:r>
      <w:r w:rsidR="00796EF2">
        <w:rPr>
          <w:sz w:val="22"/>
          <w:szCs w:val="22"/>
        </w:rPr>
        <w:t xml:space="preserve">Drought and wildfires, which become more likely with rising temperatures, are also expected to rise in the hazard rankings across the State. </w:t>
      </w:r>
      <w:r w:rsidR="008D15DD">
        <w:rPr>
          <w:sz w:val="22"/>
          <w:szCs w:val="22"/>
        </w:rPr>
        <w:t>The State will need to be prepared to provide the technical resources and financial support to address the</w:t>
      </w:r>
      <w:r w:rsidR="00E636BD">
        <w:rPr>
          <w:sz w:val="22"/>
          <w:szCs w:val="22"/>
        </w:rPr>
        <w:t xml:space="preserve">se increasing hazards. </w:t>
      </w:r>
    </w:p>
    <w:p w14:paraId="1D0E1952" w14:textId="77777777" w:rsidR="00EE7D72" w:rsidRDefault="00EE7D72" w:rsidP="00BA2D76">
      <w:pPr>
        <w:pStyle w:val="BasicParagraph"/>
        <w:rPr>
          <w:sz w:val="22"/>
          <w:szCs w:val="22"/>
        </w:rPr>
      </w:pPr>
    </w:p>
    <w:p w14:paraId="5149E056" w14:textId="77777777" w:rsidR="00EE7D72" w:rsidRPr="00EE7D72" w:rsidRDefault="00EE7D72" w:rsidP="00EE7D72">
      <w:pPr>
        <w:pStyle w:val="BasicParagraph"/>
        <w:rPr>
          <w:i/>
          <w:iCs/>
          <w:sz w:val="22"/>
          <w:szCs w:val="22"/>
        </w:rPr>
      </w:pPr>
      <w:r w:rsidRPr="00EE7D72">
        <w:rPr>
          <w:i/>
          <w:iCs/>
          <w:sz w:val="22"/>
          <w:szCs w:val="22"/>
        </w:rPr>
        <w:t xml:space="preserve">Note: further discussion on localized vulnerability is addressed in </w:t>
      </w:r>
      <w:r w:rsidRPr="00D47B89">
        <w:rPr>
          <w:i/>
          <w:iCs/>
          <w:color w:val="ED7D31" w:themeColor="accent2"/>
          <w:sz w:val="22"/>
          <w:szCs w:val="22"/>
        </w:rPr>
        <w:t>Section 5</w:t>
      </w:r>
      <w:r w:rsidRPr="00EE7D72">
        <w:rPr>
          <w:i/>
          <w:iCs/>
          <w:sz w:val="22"/>
          <w:szCs w:val="22"/>
        </w:rPr>
        <w:t xml:space="preserve">. </w:t>
      </w:r>
    </w:p>
    <w:p w14:paraId="0B86E69E" w14:textId="77777777" w:rsidR="00EE7D72" w:rsidRDefault="00EE7D72" w:rsidP="00BA2D76">
      <w:pPr>
        <w:pStyle w:val="BasicParagraph"/>
        <w:rPr>
          <w:sz w:val="22"/>
          <w:szCs w:val="22"/>
        </w:rPr>
      </w:pPr>
    </w:p>
    <w:sectPr w:rsidR="00EE7D7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FCAAF" w14:textId="77777777" w:rsidR="00A22104" w:rsidRDefault="00A22104" w:rsidP="00BA2D76">
      <w:pPr>
        <w:spacing w:after="0" w:line="240" w:lineRule="auto"/>
      </w:pPr>
      <w:r>
        <w:separator/>
      </w:r>
    </w:p>
  </w:endnote>
  <w:endnote w:type="continuationSeparator" w:id="0">
    <w:p w14:paraId="3933025F" w14:textId="77777777" w:rsidR="00A22104" w:rsidRDefault="00A22104" w:rsidP="00BA2D76">
      <w:pPr>
        <w:spacing w:after="0" w:line="240" w:lineRule="auto"/>
      </w:pPr>
      <w:r>
        <w:continuationSeparator/>
      </w:r>
    </w:p>
  </w:endnote>
  <w:endnote w:type="continuationNotice" w:id="1">
    <w:p w14:paraId="086B61FE" w14:textId="77777777" w:rsidR="00A22104" w:rsidRDefault="00A2210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8CA22" w14:textId="77777777" w:rsidR="00A22104" w:rsidRDefault="00A22104" w:rsidP="00BA2D76">
      <w:pPr>
        <w:spacing w:after="0" w:line="240" w:lineRule="auto"/>
      </w:pPr>
      <w:r>
        <w:separator/>
      </w:r>
    </w:p>
  </w:footnote>
  <w:footnote w:type="continuationSeparator" w:id="0">
    <w:p w14:paraId="082465FA" w14:textId="77777777" w:rsidR="00A22104" w:rsidRDefault="00A22104" w:rsidP="00BA2D76">
      <w:pPr>
        <w:spacing w:after="0" w:line="240" w:lineRule="auto"/>
      </w:pPr>
      <w:r>
        <w:continuationSeparator/>
      </w:r>
    </w:p>
  </w:footnote>
  <w:footnote w:type="continuationNotice" w:id="1">
    <w:p w14:paraId="0B4D5452" w14:textId="77777777" w:rsidR="00A22104" w:rsidRDefault="00A22104">
      <w:pPr>
        <w:spacing w:after="0" w:line="240" w:lineRule="auto"/>
      </w:pPr>
    </w:p>
  </w:footnote>
  <w:footnote w:id="2">
    <w:p w14:paraId="2A4B3AFC" w14:textId="407B2437" w:rsidR="6AB24916" w:rsidRDefault="6AB24916" w:rsidP="6AB24916">
      <w:pPr>
        <w:pStyle w:val="FootnoteText"/>
      </w:pPr>
      <w:r w:rsidRPr="6AB24916">
        <w:rPr>
          <w:rStyle w:val="FootnoteReference"/>
        </w:rPr>
        <w:footnoteRef/>
      </w:r>
      <w:r w:rsidR="4CA3EB60">
        <w:t xml:space="preserve"> </w:t>
      </w:r>
      <w:hyperlink r:id="rId1">
        <w:r w:rsidR="4CA3EB60" w:rsidRPr="4CA3EB60">
          <w:rPr>
            <w:rStyle w:val="Hyperlink"/>
          </w:rPr>
          <w:t>http://publicassets.org/wp-content/uploads/2022/07/MJB156.pdf</w:t>
        </w:r>
      </w:hyperlink>
      <w:r w:rsidR="4CA3EB60">
        <w:t xml:space="preserve"> </w:t>
      </w:r>
    </w:p>
  </w:footnote>
  <w:footnote w:id="3">
    <w:p w14:paraId="6246E60B" w14:textId="12E7B047" w:rsidR="7A7CBB3D" w:rsidRDefault="7A7CBB3D" w:rsidP="7A7CBB3D">
      <w:pPr>
        <w:pStyle w:val="FootnoteText"/>
      </w:pPr>
      <w:r w:rsidRPr="7A7CBB3D">
        <w:rPr>
          <w:rStyle w:val="FootnoteReference"/>
        </w:rPr>
        <w:footnoteRef/>
      </w:r>
      <w:r>
        <w:t xml:space="preserve"> </w:t>
      </w:r>
      <w:hyperlink r:id="rId2" w:history="1">
        <w:r w:rsidR="006B0E83" w:rsidRPr="001538E5">
          <w:rPr>
            <w:rStyle w:val="Hyperlink"/>
            <w:rFonts w:asciiTheme="minorHAnsi" w:hAnsiTheme="minorHAnsi" w:cstheme="minorBidi"/>
          </w:rPr>
          <w:t>https://nepis.epa.gov/Exe/ZyPDF.cgi?Dockey=P100SSN6.txt</w:t>
        </w:r>
      </w:hyperlink>
      <w:r w:rsidR="006B0E83">
        <w:t xml:space="preserve"> </w:t>
      </w:r>
    </w:p>
  </w:footnote>
  <w:footnote w:id="4">
    <w:p w14:paraId="7F9AD926" w14:textId="7C3ED924" w:rsidR="7A7CBB3D" w:rsidRDefault="7A7CBB3D" w:rsidP="7A7CBB3D">
      <w:pPr>
        <w:pStyle w:val="FootnoteText"/>
      </w:pPr>
      <w:r w:rsidRPr="7A7CBB3D">
        <w:rPr>
          <w:rStyle w:val="FootnoteReference"/>
        </w:rPr>
        <w:footnoteRef/>
      </w:r>
      <w:r>
        <w:t xml:space="preserve"> </w:t>
      </w:r>
      <w:hyperlink r:id="rId3" w:history="1">
        <w:r w:rsidR="006B0E83" w:rsidRPr="001538E5">
          <w:rPr>
            <w:rStyle w:val="Hyperlink"/>
            <w:rFonts w:asciiTheme="minorHAnsi" w:hAnsiTheme="minorHAnsi" w:cstheme="minorBidi"/>
          </w:rPr>
          <w:t>http://dev.vtclimate.org/wp-content/uploads/2014/04/VCA2014_FullReport.pdf</w:t>
        </w:r>
      </w:hyperlink>
      <w:r w:rsidR="006B0E83">
        <w:t xml:space="preserve"> </w:t>
      </w:r>
    </w:p>
  </w:footnote>
  <w:footnote w:id="5">
    <w:p w14:paraId="3E154019" w14:textId="09EADA9D" w:rsidR="6AB24916" w:rsidRDefault="6AB24916" w:rsidP="6AB24916">
      <w:pPr>
        <w:pStyle w:val="FootnoteText"/>
      </w:pPr>
      <w:r w:rsidRPr="6AB24916">
        <w:rPr>
          <w:rStyle w:val="FootnoteReference"/>
        </w:rPr>
        <w:footnoteRef/>
      </w:r>
      <w:r>
        <w:t xml:space="preserve"> </w:t>
      </w:r>
      <w:hyperlink r:id="rId4">
        <w:r w:rsidRPr="6AB24916">
          <w:rPr>
            <w:rStyle w:val="Hyperlink"/>
          </w:rPr>
          <w:t>https://www.mynbc5.com/article/climate-migrants-come-to-vermont-and-the-adirondacks/43222337</w:t>
        </w:r>
      </w:hyperlink>
    </w:p>
    <w:p w14:paraId="0088E185" w14:textId="488AA556" w:rsidR="6AB24916" w:rsidRDefault="6AB24916" w:rsidP="6AB24916">
      <w:pPr>
        <w:pStyle w:val="FootnoteText"/>
      </w:pPr>
    </w:p>
  </w:footnote>
  <w:footnote w:id="6">
    <w:p w14:paraId="7F5AABDF" w14:textId="37CFB3F7" w:rsidR="6AB24916" w:rsidRDefault="6AB24916" w:rsidP="6AB24916">
      <w:pPr>
        <w:pStyle w:val="FootnoteText"/>
      </w:pPr>
      <w:r w:rsidRPr="6AB24916">
        <w:rPr>
          <w:rStyle w:val="FootnoteReference"/>
        </w:rPr>
        <w:footnoteRef/>
      </w:r>
      <w:r w:rsidR="00FD67D2">
        <w:t xml:space="preserve"> </w:t>
      </w:r>
      <w:hyperlink r:id="rId5" w:history="1">
        <w:r w:rsidR="00606C4F" w:rsidRPr="00640225">
          <w:rPr>
            <w:rStyle w:val="Hyperlink"/>
          </w:rPr>
          <w:t>https://outside.vermont.gov/agency/anr/climatecouncil/Shared%20Documents/Initial%20Climate%20Action%20Plan%20-%20Final%20-%2012-1-21.pdf</w:t>
        </w:r>
      </w:hyperlink>
    </w:p>
  </w:footnote>
  <w:footnote w:id="7">
    <w:p w14:paraId="10F6853D" w14:textId="6648E18F" w:rsidR="4CA3EB60" w:rsidRDefault="4CA3EB60" w:rsidP="4CA3EB60">
      <w:pPr>
        <w:pStyle w:val="FootnoteText"/>
      </w:pPr>
      <w:r w:rsidRPr="4CA3EB60">
        <w:rPr>
          <w:rStyle w:val="FootnoteReference"/>
        </w:rPr>
        <w:footnoteRef/>
      </w:r>
      <w:r>
        <w:t xml:space="preserve"> </w:t>
      </w:r>
      <w:hyperlink r:id="rId6">
        <w:r w:rsidRPr="4CA3EB60">
          <w:rPr>
            <w:rStyle w:val="Hyperlink"/>
          </w:rPr>
          <w:t>https://www.vermontpublic.org/local-news/2022-08-24/long-known-for-its-dwindling-population-vermont-sees-a-recent-uptick-in-new-residents</w:t>
        </w:r>
      </w:hyperlink>
    </w:p>
    <w:p w14:paraId="431C5034" w14:textId="006B6264" w:rsidR="4CA3EB60" w:rsidRDefault="4CA3EB60" w:rsidP="4CA3EB60">
      <w:pPr>
        <w:pStyle w:val="FootnoteText"/>
      </w:pPr>
    </w:p>
  </w:footnote>
  <w:footnote w:id="8">
    <w:p w14:paraId="48513CA7" w14:textId="7D337989" w:rsidR="4CA3EB60" w:rsidRDefault="4CA3EB60" w:rsidP="4CA3EB60">
      <w:pPr>
        <w:pStyle w:val="FootnoteText"/>
      </w:pPr>
      <w:r w:rsidRPr="4CA3EB60">
        <w:rPr>
          <w:rStyle w:val="FootnoteReference"/>
        </w:rPr>
        <w:footnoteRef/>
      </w:r>
      <w:r>
        <w:t xml:space="preserve"> </w:t>
      </w:r>
      <w:hyperlink r:id="rId7">
        <w:r w:rsidRPr="4CA3EB60">
          <w:rPr>
            <w:rStyle w:val="Hyperlink"/>
          </w:rPr>
          <w:t>https://www.uvm.edu/sites/default/files/Center-for-Research-on-Vermont/docs/Survey_Summary_4-pages.pdf</w:t>
        </w:r>
      </w:hyperlink>
    </w:p>
    <w:p w14:paraId="77329ADA" w14:textId="22BF9874" w:rsidR="4CA3EB60" w:rsidRDefault="4CA3EB60" w:rsidP="4CA3EB60">
      <w:pPr>
        <w:pStyle w:val="FootnoteText"/>
      </w:pPr>
    </w:p>
  </w:footnote>
  <w:footnote w:id="9">
    <w:p w14:paraId="3ECA0BDF" w14:textId="7F76BCB4" w:rsidR="009E2272" w:rsidRPr="00BA2D76" w:rsidRDefault="009E2272" w:rsidP="00BA2D76">
      <w:pPr>
        <w:pStyle w:val="BasicParagraph"/>
        <w:rPr>
          <w:sz w:val="20"/>
          <w:szCs w:val="20"/>
        </w:rPr>
      </w:pPr>
      <w:r>
        <w:rPr>
          <w:vertAlign w:val="superscript"/>
        </w:rPr>
        <w:footnoteRef/>
      </w:r>
      <w:hyperlink r:id="rId8" w:history="1">
        <w:r w:rsidR="00E42E9A" w:rsidRPr="001538E5">
          <w:rPr>
            <w:rStyle w:val="Hyperlink"/>
            <w:sz w:val="20"/>
            <w:szCs w:val="20"/>
          </w:rPr>
          <w:t>http://vtrans.vermont.gov/sites/aot/files/planning/documents/planning/Existing%20Conditions%20%20Future%20Trends%206-7-17.pdf</w:t>
        </w:r>
      </w:hyperlink>
      <w:r w:rsidR="00E42E9A">
        <w:rPr>
          <w:rStyle w:val="Footnote"/>
        </w:rPr>
        <w:t xml:space="preserve"> </w:t>
      </w:r>
    </w:p>
  </w:footnote>
  <w:footnote w:id="10">
    <w:p w14:paraId="3D00A68F" w14:textId="3DF7D1D2" w:rsidR="66B39B54" w:rsidRDefault="66B39B54" w:rsidP="66B39B54">
      <w:pPr>
        <w:pStyle w:val="FootnoteText"/>
      </w:pPr>
      <w:r w:rsidRPr="66B39B54">
        <w:rPr>
          <w:rStyle w:val="FootnoteReference"/>
        </w:rPr>
        <w:footnoteRef/>
      </w:r>
      <w:r>
        <w:t xml:space="preserve"> </w:t>
      </w:r>
      <w:hyperlink r:id="rId9" w:history="1">
        <w:r w:rsidR="00E42E9A" w:rsidRPr="001538E5">
          <w:rPr>
            <w:rStyle w:val="Hyperlink"/>
            <w:rFonts w:asciiTheme="minorHAnsi" w:hAnsiTheme="minorHAnsi" w:cstheme="minorBidi"/>
          </w:rPr>
          <w:t>https://data.census.gov/table?q=vermont+transportstion&amp;tid=ACSDT5Y2021.B08141</w:t>
        </w:r>
      </w:hyperlink>
      <w:r w:rsidR="00E42E9A">
        <w:t xml:space="preserve"> </w:t>
      </w:r>
    </w:p>
  </w:footnote>
  <w:footnote w:id="11">
    <w:p w14:paraId="3ECA0BE0" w14:textId="769FCABE" w:rsidR="009E2272" w:rsidRPr="00BA2D76" w:rsidRDefault="009E2272" w:rsidP="00BA2D76">
      <w:pPr>
        <w:pStyle w:val="BasicParagraph"/>
        <w:rPr>
          <w:sz w:val="20"/>
          <w:szCs w:val="20"/>
        </w:rPr>
      </w:pPr>
      <w:r>
        <w:rPr>
          <w:vertAlign w:val="superscript"/>
        </w:rPr>
        <w:footnoteRef/>
      </w:r>
      <w:hyperlink r:id="rId10" w:history="1">
        <w:r w:rsidR="00E42E9A" w:rsidRPr="001538E5">
          <w:rPr>
            <w:rStyle w:val="Hyperlink"/>
            <w:sz w:val="20"/>
            <w:szCs w:val="20"/>
          </w:rPr>
          <w:t>https://www.connectingcommuters.org/</w:t>
        </w:r>
      </w:hyperlink>
      <w:r w:rsidR="00E42E9A">
        <w:rPr>
          <w:rStyle w:val="Footnote"/>
        </w:rPr>
        <w:t xml:space="preserve"> </w:t>
      </w:r>
    </w:p>
  </w:footnote>
  <w:footnote w:id="12">
    <w:p w14:paraId="3ECA0BE1" w14:textId="14B6603E" w:rsidR="009E2272" w:rsidRPr="00BA2D76" w:rsidRDefault="009E2272" w:rsidP="00BA2D76">
      <w:pPr>
        <w:pStyle w:val="BasicParagraph"/>
        <w:rPr>
          <w:sz w:val="20"/>
          <w:szCs w:val="20"/>
        </w:rPr>
      </w:pPr>
      <w:r>
        <w:rPr>
          <w:vertAlign w:val="superscript"/>
        </w:rPr>
        <w:footnoteRef/>
      </w:r>
      <w:hyperlink r:id="rId11" w:history="1">
        <w:r w:rsidR="00AF2D9B" w:rsidRPr="001538E5">
          <w:rPr>
            <w:rStyle w:val="Hyperlink"/>
            <w:sz w:val="20"/>
            <w:szCs w:val="20"/>
          </w:rPr>
          <w:t>https://svi.cdc.gov/map.aspx</w:t>
        </w:r>
      </w:hyperlink>
      <w:r w:rsidR="00AF2D9B">
        <w:rPr>
          <w:rStyle w:val="Footnote"/>
        </w:rPr>
        <w:t xml:space="preserve"> </w:t>
      </w:r>
    </w:p>
  </w:footnote>
  <w:footnote w:id="13">
    <w:p w14:paraId="3ECA0BE3" w14:textId="0F590164" w:rsidR="009E2272" w:rsidRPr="00AF2D9B" w:rsidRDefault="009E2272" w:rsidP="00BA2D76">
      <w:pPr>
        <w:pStyle w:val="BasicParagraph"/>
        <w:rPr>
          <w:sz w:val="20"/>
          <w:szCs w:val="20"/>
        </w:rPr>
      </w:pPr>
      <w:r>
        <w:rPr>
          <w:vertAlign w:val="superscript"/>
        </w:rPr>
        <w:footnoteRef/>
      </w:r>
      <w:hyperlink r:id="rId12" w:history="1">
        <w:r w:rsidR="00AF2D9B" w:rsidRPr="001538E5">
          <w:rPr>
            <w:rStyle w:val="Hyperlink"/>
            <w:sz w:val="20"/>
            <w:szCs w:val="20"/>
          </w:rPr>
          <w:t>http://www.leg.state.vt.us/jfo/reports/2017%20BNB%20Report%20Revision_Feb_1.pdf</w:t>
        </w:r>
      </w:hyperlink>
      <w:r w:rsidR="00AF2D9B">
        <w:rPr>
          <w:rStyle w:val="Footnote"/>
        </w:rPr>
        <w:t xml:space="preserve"> </w:t>
      </w:r>
    </w:p>
  </w:footnote>
  <w:footnote w:id="14">
    <w:p w14:paraId="170C6D2E" w14:textId="5AAE5DDA" w:rsidR="04CFB4BD" w:rsidRDefault="04CFB4BD" w:rsidP="04CFB4BD">
      <w:pPr>
        <w:pStyle w:val="FootnoteText"/>
      </w:pPr>
      <w:r w:rsidRPr="04CFB4BD">
        <w:rPr>
          <w:rStyle w:val="FootnoteReference"/>
        </w:rPr>
        <w:footnoteRef/>
      </w:r>
      <w:r>
        <w:t xml:space="preserve"> </w:t>
      </w:r>
      <w:hyperlink r:id="rId13" w:history="1">
        <w:r w:rsidR="00AF2D9B" w:rsidRPr="001538E5">
          <w:rPr>
            <w:rStyle w:val="Hyperlink"/>
            <w:rFonts w:asciiTheme="minorHAnsi" w:hAnsiTheme="minorHAnsi" w:cstheme="minorBidi"/>
          </w:rPr>
          <w:t>https://www.healthvermont.gov/health-environment/climate-health/climate-change</w:t>
        </w:r>
      </w:hyperlink>
      <w:r w:rsidR="00AF2D9B">
        <w:t xml:space="preserve"> </w:t>
      </w:r>
    </w:p>
  </w:footnote>
  <w:footnote w:id="15">
    <w:p w14:paraId="3ECA0BE4" w14:textId="301D4802" w:rsidR="009E2272" w:rsidRPr="00BA2D76" w:rsidRDefault="009E2272" w:rsidP="00BA2D76">
      <w:pPr>
        <w:pStyle w:val="BasicParagraph"/>
        <w:rPr>
          <w:sz w:val="20"/>
          <w:szCs w:val="20"/>
        </w:rPr>
      </w:pPr>
      <w:r>
        <w:rPr>
          <w:vertAlign w:val="superscript"/>
        </w:rPr>
        <w:footnoteRef/>
      </w:r>
      <w:hyperlink r:id="rId14" w:history="1">
        <w:r w:rsidR="00AF2D9B" w:rsidRPr="001538E5">
          <w:rPr>
            <w:rStyle w:val="Hyperlink"/>
            <w:sz w:val="20"/>
            <w:szCs w:val="20"/>
          </w:rPr>
          <w:t>http://www.ipcc.ch/</w:t>
        </w:r>
      </w:hyperlink>
      <w:r w:rsidR="00AF2D9B">
        <w:rPr>
          <w:rStyle w:val="Footnote"/>
        </w:rPr>
        <w:t xml:space="preserve"> </w:t>
      </w:r>
    </w:p>
  </w:footnote>
  <w:footnote w:id="16">
    <w:p w14:paraId="3ECA0BE6" w14:textId="22C9AC77" w:rsidR="009E2272" w:rsidRPr="00AF2D9B" w:rsidRDefault="009E2272" w:rsidP="00BA2D76">
      <w:pPr>
        <w:pStyle w:val="BasicParagraph"/>
        <w:rPr>
          <w:sz w:val="20"/>
          <w:szCs w:val="20"/>
        </w:rPr>
      </w:pPr>
      <w:r>
        <w:rPr>
          <w:vertAlign w:val="superscript"/>
        </w:rPr>
        <w:footnoteRef/>
      </w:r>
      <w:hyperlink r:id="rId15" w:history="1">
        <w:r w:rsidR="00AF2D9B" w:rsidRPr="001538E5">
          <w:rPr>
            <w:rStyle w:val="Hyperlink"/>
            <w:sz w:val="20"/>
            <w:szCs w:val="20"/>
          </w:rPr>
          <w:t>https://climate.nasa.gov/effects/</w:t>
        </w:r>
      </w:hyperlink>
      <w:r w:rsidR="00AF2D9B">
        <w:rPr>
          <w:rStyle w:val="Footnote"/>
        </w:rPr>
        <w:t xml:space="preserve"> </w:t>
      </w:r>
    </w:p>
  </w:footnote>
  <w:footnote w:id="17">
    <w:p w14:paraId="3ECA0BE8" w14:textId="0A1FFDEA" w:rsidR="009E2272" w:rsidRPr="00BA2D76" w:rsidRDefault="009E2272" w:rsidP="00BA2D76">
      <w:pPr>
        <w:pStyle w:val="BasicParagraph"/>
        <w:rPr>
          <w:sz w:val="20"/>
          <w:szCs w:val="20"/>
        </w:rPr>
      </w:pPr>
      <w:r>
        <w:rPr>
          <w:vertAlign w:val="superscript"/>
        </w:rPr>
        <w:footnoteRef/>
      </w:r>
      <w:r>
        <w:rPr>
          <w:rStyle w:val="Footnote"/>
        </w:rPr>
        <w:tab/>
      </w:r>
      <w:r w:rsidR="627628F9">
        <w:rPr>
          <w:rStyle w:val="Footnote"/>
        </w:rPr>
        <w:t>h</w:t>
      </w:r>
      <w:r w:rsidR="627628F9" w:rsidRPr="627628F9">
        <w:rPr>
          <w:rStyle w:val="Footnote"/>
        </w:rPr>
        <w:t xml:space="preserve">ttps://nca2018.globalchange.gov/chapter/2#key-message-6 </w:t>
      </w:r>
    </w:p>
  </w:footnote>
  <w:footnote w:id="18">
    <w:p w14:paraId="3ECA0BE9" w14:textId="4AE77FCF" w:rsidR="009E2272" w:rsidRDefault="009E2272" w:rsidP="00BA2D76">
      <w:pPr>
        <w:pStyle w:val="BasicParagraph"/>
        <w:rPr>
          <w:rStyle w:val="Footnote"/>
        </w:rPr>
      </w:pPr>
      <w:r>
        <w:rPr>
          <w:vertAlign w:val="superscript"/>
        </w:rPr>
        <w:footnoteRef/>
      </w:r>
      <w:r w:rsidR="627628F9" w:rsidRPr="627628F9">
        <w:rPr>
          <w:rStyle w:val="Footnote"/>
        </w:rPr>
        <w:t>https://nca2018.globalchange.gov/chapter/2#key-message-6</w:t>
      </w:r>
      <w:r>
        <w:rPr>
          <w:rStyle w:val="Footnote"/>
        </w:rPr>
        <w:tab/>
      </w:r>
    </w:p>
    <w:p w14:paraId="3ECA0BEA" w14:textId="77777777" w:rsidR="009E2272" w:rsidRDefault="009E2272" w:rsidP="00BA2D76">
      <w:pPr>
        <w:pStyle w:val="BasicParagrap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265A4"/>
    <w:multiLevelType w:val="hybridMultilevel"/>
    <w:tmpl w:val="F61AEEBA"/>
    <w:lvl w:ilvl="0" w:tplc="EA2AD2A8">
      <w:start w:val="2"/>
      <w:numFmt w:val="decimal"/>
      <w:lvlText w:val="%1."/>
      <w:lvlJc w:val="left"/>
      <w:pPr>
        <w:ind w:left="720" w:hanging="360"/>
      </w:pPr>
      <w:rPr>
        <w:rFonts w:ascii="Calibri" w:hAnsi="Calibri" w:hint="default"/>
      </w:rPr>
    </w:lvl>
    <w:lvl w:ilvl="1" w:tplc="0694B81C">
      <w:start w:val="1"/>
      <w:numFmt w:val="lowerLetter"/>
      <w:lvlText w:val="%2."/>
      <w:lvlJc w:val="left"/>
      <w:pPr>
        <w:ind w:left="1440" w:hanging="360"/>
      </w:pPr>
    </w:lvl>
    <w:lvl w:ilvl="2" w:tplc="934AF6F8">
      <w:start w:val="1"/>
      <w:numFmt w:val="lowerRoman"/>
      <w:lvlText w:val="%3."/>
      <w:lvlJc w:val="right"/>
      <w:pPr>
        <w:ind w:left="2160" w:hanging="180"/>
      </w:pPr>
    </w:lvl>
    <w:lvl w:ilvl="3" w:tplc="45F2E154">
      <w:start w:val="1"/>
      <w:numFmt w:val="decimal"/>
      <w:lvlText w:val="%4."/>
      <w:lvlJc w:val="left"/>
      <w:pPr>
        <w:ind w:left="2880" w:hanging="360"/>
      </w:pPr>
    </w:lvl>
    <w:lvl w:ilvl="4" w:tplc="0850654E">
      <w:start w:val="1"/>
      <w:numFmt w:val="lowerLetter"/>
      <w:lvlText w:val="%5."/>
      <w:lvlJc w:val="left"/>
      <w:pPr>
        <w:ind w:left="3600" w:hanging="360"/>
      </w:pPr>
    </w:lvl>
    <w:lvl w:ilvl="5" w:tplc="EC2AB14C">
      <w:start w:val="1"/>
      <w:numFmt w:val="lowerRoman"/>
      <w:lvlText w:val="%6."/>
      <w:lvlJc w:val="right"/>
      <w:pPr>
        <w:ind w:left="4320" w:hanging="180"/>
      </w:pPr>
    </w:lvl>
    <w:lvl w:ilvl="6" w:tplc="1D3865EA">
      <w:start w:val="1"/>
      <w:numFmt w:val="decimal"/>
      <w:lvlText w:val="%7."/>
      <w:lvlJc w:val="left"/>
      <w:pPr>
        <w:ind w:left="5040" w:hanging="360"/>
      </w:pPr>
    </w:lvl>
    <w:lvl w:ilvl="7" w:tplc="26025F30">
      <w:start w:val="1"/>
      <w:numFmt w:val="lowerLetter"/>
      <w:lvlText w:val="%8."/>
      <w:lvlJc w:val="left"/>
      <w:pPr>
        <w:ind w:left="5760" w:hanging="360"/>
      </w:pPr>
    </w:lvl>
    <w:lvl w:ilvl="8" w:tplc="1610B702">
      <w:start w:val="1"/>
      <w:numFmt w:val="lowerRoman"/>
      <w:lvlText w:val="%9."/>
      <w:lvlJc w:val="right"/>
      <w:pPr>
        <w:ind w:left="6480" w:hanging="180"/>
      </w:pPr>
    </w:lvl>
  </w:abstractNum>
  <w:abstractNum w:abstractNumId="1" w15:restartNumberingAfterBreak="0">
    <w:nsid w:val="19837AE4"/>
    <w:multiLevelType w:val="hybridMultilevel"/>
    <w:tmpl w:val="AF5628CA"/>
    <w:lvl w:ilvl="0" w:tplc="39FA9272">
      <w:start w:val="3"/>
      <w:numFmt w:val="decimal"/>
      <w:lvlText w:val="%1."/>
      <w:lvlJc w:val="left"/>
      <w:pPr>
        <w:ind w:left="720" w:hanging="360"/>
      </w:pPr>
      <w:rPr>
        <w:rFonts w:ascii="Calibri" w:hAnsi="Calibri" w:hint="default"/>
      </w:rPr>
    </w:lvl>
    <w:lvl w:ilvl="1" w:tplc="C50CF8DE">
      <w:start w:val="1"/>
      <w:numFmt w:val="lowerLetter"/>
      <w:lvlText w:val="%2."/>
      <w:lvlJc w:val="left"/>
      <w:pPr>
        <w:ind w:left="1440" w:hanging="360"/>
      </w:pPr>
    </w:lvl>
    <w:lvl w:ilvl="2" w:tplc="078CF0FC">
      <w:start w:val="1"/>
      <w:numFmt w:val="lowerRoman"/>
      <w:lvlText w:val="%3."/>
      <w:lvlJc w:val="right"/>
      <w:pPr>
        <w:ind w:left="2160" w:hanging="180"/>
      </w:pPr>
    </w:lvl>
    <w:lvl w:ilvl="3" w:tplc="7974EC28">
      <w:start w:val="1"/>
      <w:numFmt w:val="decimal"/>
      <w:lvlText w:val="%4."/>
      <w:lvlJc w:val="left"/>
      <w:pPr>
        <w:ind w:left="2880" w:hanging="360"/>
      </w:pPr>
    </w:lvl>
    <w:lvl w:ilvl="4" w:tplc="7B863CA0">
      <w:start w:val="1"/>
      <w:numFmt w:val="lowerLetter"/>
      <w:lvlText w:val="%5."/>
      <w:lvlJc w:val="left"/>
      <w:pPr>
        <w:ind w:left="3600" w:hanging="360"/>
      </w:pPr>
    </w:lvl>
    <w:lvl w:ilvl="5" w:tplc="21D2B6FC">
      <w:start w:val="1"/>
      <w:numFmt w:val="lowerRoman"/>
      <w:lvlText w:val="%6."/>
      <w:lvlJc w:val="right"/>
      <w:pPr>
        <w:ind w:left="4320" w:hanging="180"/>
      </w:pPr>
    </w:lvl>
    <w:lvl w:ilvl="6" w:tplc="89C27A6C">
      <w:start w:val="1"/>
      <w:numFmt w:val="decimal"/>
      <w:lvlText w:val="%7."/>
      <w:lvlJc w:val="left"/>
      <w:pPr>
        <w:ind w:left="5040" w:hanging="360"/>
      </w:pPr>
    </w:lvl>
    <w:lvl w:ilvl="7" w:tplc="E954DEA8">
      <w:start w:val="1"/>
      <w:numFmt w:val="lowerLetter"/>
      <w:lvlText w:val="%8."/>
      <w:lvlJc w:val="left"/>
      <w:pPr>
        <w:ind w:left="5760" w:hanging="360"/>
      </w:pPr>
    </w:lvl>
    <w:lvl w:ilvl="8" w:tplc="8702F2B0">
      <w:start w:val="1"/>
      <w:numFmt w:val="lowerRoman"/>
      <w:lvlText w:val="%9."/>
      <w:lvlJc w:val="right"/>
      <w:pPr>
        <w:ind w:left="6480" w:hanging="180"/>
      </w:pPr>
    </w:lvl>
  </w:abstractNum>
  <w:abstractNum w:abstractNumId="2" w15:restartNumberingAfterBreak="0">
    <w:nsid w:val="20FCB8F9"/>
    <w:multiLevelType w:val="hybridMultilevel"/>
    <w:tmpl w:val="8FBE0C2C"/>
    <w:lvl w:ilvl="0" w:tplc="48C41B72">
      <w:start w:val="4"/>
      <w:numFmt w:val="decimal"/>
      <w:lvlText w:val="%1."/>
      <w:lvlJc w:val="left"/>
      <w:pPr>
        <w:ind w:left="720" w:hanging="360"/>
      </w:pPr>
      <w:rPr>
        <w:rFonts w:ascii="Calibri" w:hAnsi="Calibri" w:hint="default"/>
      </w:rPr>
    </w:lvl>
    <w:lvl w:ilvl="1" w:tplc="24FC5172">
      <w:start w:val="1"/>
      <w:numFmt w:val="lowerLetter"/>
      <w:lvlText w:val="%2."/>
      <w:lvlJc w:val="left"/>
      <w:pPr>
        <w:ind w:left="1440" w:hanging="360"/>
      </w:pPr>
    </w:lvl>
    <w:lvl w:ilvl="2" w:tplc="E8C21DC0">
      <w:start w:val="1"/>
      <w:numFmt w:val="lowerRoman"/>
      <w:lvlText w:val="%3."/>
      <w:lvlJc w:val="right"/>
      <w:pPr>
        <w:ind w:left="2160" w:hanging="180"/>
      </w:pPr>
    </w:lvl>
    <w:lvl w:ilvl="3" w:tplc="AE5A4468">
      <w:start w:val="1"/>
      <w:numFmt w:val="decimal"/>
      <w:lvlText w:val="%4."/>
      <w:lvlJc w:val="left"/>
      <w:pPr>
        <w:ind w:left="2880" w:hanging="360"/>
      </w:pPr>
    </w:lvl>
    <w:lvl w:ilvl="4" w:tplc="BE64B026">
      <w:start w:val="1"/>
      <w:numFmt w:val="lowerLetter"/>
      <w:lvlText w:val="%5."/>
      <w:lvlJc w:val="left"/>
      <w:pPr>
        <w:ind w:left="3600" w:hanging="360"/>
      </w:pPr>
    </w:lvl>
    <w:lvl w:ilvl="5" w:tplc="10001EF0">
      <w:start w:val="1"/>
      <w:numFmt w:val="lowerRoman"/>
      <w:lvlText w:val="%6."/>
      <w:lvlJc w:val="right"/>
      <w:pPr>
        <w:ind w:left="4320" w:hanging="180"/>
      </w:pPr>
    </w:lvl>
    <w:lvl w:ilvl="6" w:tplc="45C02C94">
      <w:start w:val="1"/>
      <w:numFmt w:val="decimal"/>
      <w:lvlText w:val="%7."/>
      <w:lvlJc w:val="left"/>
      <w:pPr>
        <w:ind w:left="5040" w:hanging="360"/>
      </w:pPr>
    </w:lvl>
    <w:lvl w:ilvl="7" w:tplc="9536A9DA">
      <w:start w:val="1"/>
      <w:numFmt w:val="lowerLetter"/>
      <w:lvlText w:val="%8."/>
      <w:lvlJc w:val="left"/>
      <w:pPr>
        <w:ind w:left="5760" w:hanging="360"/>
      </w:pPr>
    </w:lvl>
    <w:lvl w:ilvl="8" w:tplc="8E2495EA">
      <w:start w:val="1"/>
      <w:numFmt w:val="lowerRoman"/>
      <w:lvlText w:val="%9."/>
      <w:lvlJc w:val="right"/>
      <w:pPr>
        <w:ind w:left="6480" w:hanging="180"/>
      </w:pPr>
    </w:lvl>
  </w:abstractNum>
  <w:abstractNum w:abstractNumId="3" w15:restartNumberingAfterBreak="0">
    <w:nsid w:val="44455142"/>
    <w:multiLevelType w:val="hybridMultilevel"/>
    <w:tmpl w:val="40B6D85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15:restartNumberingAfterBreak="0">
    <w:nsid w:val="62884C49"/>
    <w:multiLevelType w:val="hybridMultilevel"/>
    <w:tmpl w:val="80387DA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6DF5949B"/>
    <w:multiLevelType w:val="hybridMultilevel"/>
    <w:tmpl w:val="EF6CA42E"/>
    <w:lvl w:ilvl="0" w:tplc="275EA814">
      <w:start w:val="1"/>
      <w:numFmt w:val="decimal"/>
      <w:lvlText w:val="%1."/>
      <w:lvlJc w:val="left"/>
      <w:pPr>
        <w:ind w:left="720" w:hanging="360"/>
      </w:pPr>
      <w:rPr>
        <w:rFonts w:ascii="Calibri" w:hAnsi="Calibri" w:hint="default"/>
      </w:rPr>
    </w:lvl>
    <w:lvl w:ilvl="1" w:tplc="97F0669E">
      <w:start w:val="1"/>
      <w:numFmt w:val="lowerLetter"/>
      <w:lvlText w:val="%2."/>
      <w:lvlJc w:val="left"/>
      <w:pPr>
        <w:ind w:left="1440" w:hanging="360"/>
      </w:pPr>
    </w:lvl>
    <w:lvl w:ilvl="2" w:tplc="537AD4B4">
      <w:start w:val="1"/>
      <w:numFmt w:val="lowerRoman"/>
      <w:lvlText w:val="%3."/>
      <w:lvlJc w:val="right"/>
      <w:pPr>
        <w:ind w:left="2160" w:hanging="180"/>
      </w:pPr>
    </w:lvl>
    <w:lvl w:ilvl="3" w:tplc="7414AAC8">
      <w:start w:val="1"/>
      <w:numFmt w:val="decimal"/>
      <w:lvlText w:val="%4."/>
      <w:lvlJc w:val="left"/>
      <w:pPr>
        <w:ind w:left="2880" w:hanging="360"/>
      </w:pPr>
    </w:lvl>
    <w:lvl w:ilvl="4" w:tplc="289C75C8">
      <w:start w:val="1"/>
      <w:numFmt w:val="lowerLetter"/>
      <w:lvlText w:val="%5."/>
      <w:lvlJc w:val="left"/>
      <w:pPr>
        <w:ind w:left="3600" w:hanging="360"/>
      </w:pPr>
    </w:lvl>
    <w:lvl w:ilvl="5" w:tplc="FD9E4570">
      <w:start w:val="1"/>
      <w:numFmt w:val="lowerRoman"/>
      <w:lvlText w:val="%6."/>
      <w:lvlJc w:val="right"/>
      <w:pPr>
        <w:ind w:left="4320" w:hanging="180"/>
      </w:pPr>
    </w:lvl>
    <w:lvl w:ilvl="6" w:tplc="52C23E9A">
      <w:start w:val="1"/>
      <w:numFmt w:val="decimal"/>
      <w:lvlText w:val="%7."/>
      <w:lvlJc w:val="left"/>
      <w:pPr>
        <w:ind w:left="5040" w:hanging="360"/>
      </w:pPr>
    </w:lvl>
    <w:lvl w:ilvl="7" w:tplc="EE02720C">
      <w:start w:val="1"/>
      <w:numFmt w:val="lowerLetter"/>
      <w:lvlText w:val="%8."/>
      <w:lvlJc w:val="left"/>
      <w:pPr>
        <w:ind w:left="5760" w:hanging="360"/>
      </w:pPr>
    </w:lvl>
    <w:lvl w:ilvl="8" w:tplc="DB3ABF42">
      <w:start w:val="1"/>
      <w:numFmt w:val="lowerRoman"/>
      <w:lvlText w:val="%9."/>
      <w:lvlJc w:val="right"/>
      <w:pPr>
        <w:ind w:left="6480" w:hanging="180"/>
      </w:pPr>
    </w:lvl>
  </w:abstractNum>
  <w:num w:numId="1" w16cid:durableId="183641785">
    <w:abstractNumId w:val="2"/>
  </w:num>
  <w:num w:numId="2" w16cid:durableId="726270592">
    <w:abstractNumId w:val="1"/>
  </w:num>
  <w:num w:numId="3" w16cid:durableId="339430035">
    <w:abstractNumId w:val="0"/>
  </w:num>
  <w:num w:numId="4" w16cid:durableId="2081514317">
    <w:abstractNumId w:val="5"/>
  </w:num>
  <w:num w:numId="5" w16cid:durableId="2002077288">
    <w:abstractNumId w:val="3"/>
  </w:num>
  <w:num w:numId="6" w16cid:durableId="5200279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978"/>
    <w:rsid w:val="000004D6"/>
    <w:rsid w:val="00000AC3"/>
    <w:rsid w:val="00002D24"/>
    <w:rsid w:val="0000466F"/>
    <w:rsid w:val="00010B3F"/>
    <w:rsid w:val="0001185F"/>
    <w:rsid w:val="0001193D"/>
    <w:rsid w:val="00014C2B"/>
    <w:rsid w:val="00014E00"/>
    <w:rsid w:val="000155A6"/>
    <w:rsid w:val="00022E5C"/>
    <w:rsid w:val="00028BEB"/>
    <w:rsid w:val="0003247D"/>
    <w:rsid w:val="00033AE4"/>
    <w:rsid w:val="0003610A"/>
    <w:rsid w:val="00042041"/>
    <w:rsid w:val="0004249C"/>
    <w:rsid w:val="00044DA4"/>
    <w:rsid w:val="00060C56"/>
    <w:rsid w:val="00063F79"/>
    <w:rsid w:val="000652E0"/>
    <w:rsid w:val="00066E41"/>
    <w:rsid w:val="00067CFC"/>
    <w:rsid w:val="00070317"/>
    <w:rsid w:val="000744A6"/>
    <w:rsid w:val="00076169"/>
    <w:rsid w:val="00080C08"/>
    <w:rsid w:val="0008143E"/>
    <w:rsid w:val="0008189F"/>
    <w:rsid w:val="00082C70"/>
    <w:rsid w:val="0009134F"/>
    <w:rsid w:val="00092D4B"/>
    <w:rsid w:val="00096E98"/>
    <w:rsid w:val="000A0A50"/>
    <w:rsid w:val="000A508B"/>
    <w:rsid w:val="000A67EF"/>
    <w:rsid w:val="000A6FE8"/>
    <w:rsid w:val="000B02E1"/>
    <w:rsid w:val="000B0BA3"/>
    <w:rsid w:val="000B5318"/>
    <w:rsid w:val="000B6601"/>
    <w:rsid w:val="000B6E87"/>
    <w:rsid w:val="000C04EB"/>
    <w:rsid w:val="000C1901"/>
    <w:rsid w:val="000C2394"/>
    <w:rsid w:val="000C42D2"/>
    <w:rsid w:val="000C4580"/>
    <w:rsid w:val="000C5EE1"/>
    <w:rsid w:val="000C626B"/>
    <w:rsid w:val="000D008A"/>
    <w:rsid w:val="000D233C"/>
    <w:rsid w:val="000D26A7"/>
    <w:rsid w:val="000D2914"/>
    <w:rsid w:val="000E2D8D"/>
    <w:rsid w:val="000E2DAD"/>
    <w:rsid w:val="000E3C7C"/>
    <w:rsid w:val="000F473F"/>
    <w:rsid w:val="000F6A3C"/>
    <w:rsid w:val="000F6D8E"/>
    <w:rsid w:val="00100BE8"/>
    <w:rsid w:val="00105547"/>
    <w:rsid w:val="001065A0"/>
    <w:rsid w:val="00106C5E"/>
    <w:rsid w:val="001076B0"/>
    <w:rsid w:val="001129D1"/>
    <w:rsid w:val="00114289"/>
    <w:rsid w:val="00117727"/>
    <w:rsid w:val="0012070C"/>
    <w:rsid w:val="00122D6F"/>
    <w:rsid w:val="00124EF5"/>
    <w:rsid w:val="0012570E"/>
    <w:rsid w:val="0012625F"/>
    <w:rsid w:val="00131FC1"/>
    <w:rsid w:val="00135A95"/>
    <w:rsid w:val="00143791"/>
    <w:rsid w:val="00150DC8"/>
    <w:rsid w:val="0015596E"/>
    <w:rsid w:val="0017217C"/>
    <w:rsid w:val="00175741"/>
    <w:rsid w:val="00175F88"/>
    <w:rsid w:val="00177210"/>
    <w:rsid w:val="00180716"/>
    <w:rsid w:val="001809D2"/>
    <w:rsid w:val="00183659"/>
    <w:rsid w:val="00184BD8"/>
    <w:rsid w:val="001873E9"/>
    <w:rsid w:val="00191F1F"/>
    <w:rsid w:val="001971E2"/>
    <w:rsid w:val="001A1E55"/>
    <w:rsid w:val="001A4253"/>
    <w:rsid w:val="001A7AC1"/>
    <w:rsid w:val="001B6275"/>
    <w:rsid w:val="001C01B8"/>
    <w:rsid w:val="001C2BE2"/>
    <w:rsid w:val="001C5CC0"/>
    <w:rsid w:val="001C7BDA"/>
    <w:rsid w:val="001D06EF"/>
    <w:rsid w:val="001D2F04"/>
    <w:rsid w:val="001D402E"/>
    <w:rsid w:val="001D6017"/>
    <w:rsid w:val="001E234B"/>
    <w:rsid w:val="001E3E5B"/>
    <w:rsid w:val="001F083C"/>
    <w:rsid w:val="001F0DA4"/>
    <w:rsid w:val="001F2F0E"/>
    <w:rsid w:val="001F3787"/>
    <w:rsid w:val="001F420F"/>
    <w:rsid w:val="001F5254"/>
    <w:rsid w:val="001F788E"/>
    <w:rsid w:val="00202884"/>
    <w:rsid w:val="00207996"/>
    <w:rsid w:val="00212747"/>
    <w:rsid w:val="00215E4B"/>
    <w:rsid w:val="00226273"/>
    <w:rsid w:val="002302C6"/>
    <w:rsid w:val="00231076"/>
    <w:rsid w:val="0024171B"/>
    <w:rsid w:val="0024625A"/>
    <w:rsid w:val="002521DB"/>
    <w:rsid w:val="00252C2B"/>
    <w:rsid w:val="00253764"/>
    <w:rsid w:val="00264782"/>
    <w:rsid w:val="00266AE6"/>
    <w:rsid w:val="00270759"/>
    <w:rsid w:val="00271246"/>
    <w:rsid w:val="002744B2"/>
    <w:rsid w:val="002769F0"/>
    <w:rsid w:val="00284743"/>
    <w:rsid w:val="00290A05"/>
    <w:rsid w:val="00293A9C"/>
    <w:rsid w:val="00293AF4"/>
    <w:rsid w:val="00294350"/>
    <w:rsid w:val="002A252A"/>
    <w:rsid w:val="002A4D72"/>
    <w:rsid w:val="002A51A6"/>
    <w:rsid w:val="002D15F3"/>
    <w:rsid w:val="002D1FEA"/>
    <w:rsid w:val="002D5E75"/>
    <w:rsid w:val="002E06DC"/>
    <w:rsid w:val="002E0A33"/>
    <w:rsid w:val="002E1281"/>
    <w:rsid w:val="002F0D4D"/>
    <w:rsid w:val="002F1642"/>
    <w:rsid w:val="002F41F5"/>
    <w:rsid w:val="00300496"/>
    <w:rsid w:val="00304560"/>
    <w:rsid w:val="0030607F"/>
    <w:rsid w:val="003078EC"/>
    <w:rsid w:val="00307B28"/>
    <w:rsid w:val="00311652"/>
    <w:rsid w:val="00312FB9"/>
    <w:rsid w:val="00316D17"/>
    <w:rsid w:val="0032395F"/>
    <w:rsid w:val="00324EF2"/>
    <w:rsid w:val="00325946"/>
    <w:rsid w:val="00325A11"/>
    <w:rsid w:val="003301B2"/>
    <w:rsid w:val="00330575"/>
    <w:rsid w:val="00330C44"/>
    <w:rsid w:val="00333D49"/>
    <w:rsid w:val="00333EBD"/>
    <w:rsid w:val="003347D3"/>
    <w:rsid w:val="00335376"/>
    <w:rsid w:val="00336129"/>
    <w:rsid w:val="00340911"/>
    <w:rsid w:val="003415A9"/>
    <w:rsid w:val="003430C6"/>
    <w:rsid w:val="00350D78"/>
    <w:rsid w:val="0035291F"/>
    <w:rsid w:val="0036050B"/>
    <w:rsid w:val="0036074F"/>
    <w:rsid w:val="00365ABB"/>
    <w:rsid w:val="00365D91"/>
    <w:rsid w:val="00370DB7"/>
    <w:rsid w:val="00373AD3"/>
    <w:rsid w:val="00374384"/>
    <w:rsid w:val="003829C1"/>
    <w:rsid w:val="00382FA9"/>
    <w:rsid w:val="00390000"/>
    <w:rsid w:val="00391C77"/>
    <w:rsid w:val="003930A3"/>
    <w:rsid w:val="003A0915"/>
    <w:rsid w:val="003A4EE8"/>
    <w:rsid w:val="003A685F"/>
    <w:rsid w:val="003B54C0"/>
    <w:rsid w:val="003B632A"/>
    <w:rsid w:val="003C4DA1"/>
    <w:rsid w:val="003D0FCD"/>
    <w:rsid w:val="003D1347"/>
    <w:rsid w:val="003D35D1"/>
    <w:rsid w:val="003E0455"/>
    <w:rsid w:val="003E5965"/>
    <w:rsid w:val="003F086A"/>
    <w:rsid w:val="003F7504"/>
    <w:rsid w:val="00402326"/>
    <w:rsid w:val="00404567"/>
    <w:rsid w:val="004051F0"/>
    <w:rsid w:val="004224C7"/>
    <w:rsid w:val="004277B2"/>
    <w:rsid w:val="00434D93"/>
    <w:rsid w:val="00435150"/>
    <w:rsid w:val="00435DB1"/>
    <w:rsid w:val="00441DF7"/>
    <w:rsid w:val="0044257E"/>
    <w:rsid w:val="0045339B"/>
    <w:rsid w:val="00453579"/>
    <w:rsid w:val="004570EE"/>
    <w:rsid w:val="00460E53"/>
    <w:rsid w:val="00465A42"/>
    <w:rsid w:val="00470DF8"/>
    <w:rsid w:val="00471432"/>
    <w:rsid w:val="00472CCE"/>
    <w:rsid w:val="00473BD3"/>
    <w:rsid w:val="004808BA"/>
    <w:rsid w:val="00482D2A"/>
    <w:rsid w:val="00483409"/>
    <w:rsid w:val="004843E8"/>
    <w:rsid w:val="0048E687"/>
    <w:rsid w:val="004906C8"/>
    <w:rsid w:val="0049116A"/>
    <w:rsid w:val="00494BF4"/>
    <w:rsid w:val="00496DB8"/>
    <w:rsid w:val="004A2DB4"/>
    <w:rsid w:val="004A2E27"/>
    <w:rsid w:val="004A3AF7"/>
    <w:rsid w:val="004A49FA"/>
    <w:rsid w:val="004A770A"/>
    <w:rsid w:val="004C2C7D"/>
    <w:rsid w:val="004C54D9"/>
    <w:rsid w:val="004D23C2"/>
    <w:rsid w:val="004D6EB0"/>
    <w:rsid w:val="004D780A"/>
    <w:rsid w:val="004E05A1"/>
    <w:rsid w:val="004E3252"/>
    <w:rsid w:val="004F0123"/>
    <w:rsid w:val="004F3413"/>
    <w:rsid w:val="004F7388"/>
    <w:rsid w:val="005003FE"/>
    <w:rsid w:val="00502B04"/>
    <w:rsid w:val="00503239"/>
    <w:rsid w:val="00503D41"/>
    <w:rsid w:val="005057EA"/>
    <w:rsid w:val="00505992"/>
    <w:rsid w:val="00505EA9"/>
    <w:rsid w:val="0051043B"/>
    <w:rsid w:val="005120A7"/>
    <w:rsid w:val="00513817"/>
    <w:rsid w:val="005142E7"/>
    <w:rsid w:val="00516890"/>
    <w:rsid w:val="00520D0D"/>
    <w:rsid w:val="00524147"/>
    <w:rsid w:val="00525A82"/>
    <w:rsid w:val="00527933"/>
    <w:rsid w:val="00530DF8"/>
    <w:rsid w:val="00532FD7"/>
    <w:rsid w:val="00537505"/>
    <w:rsid w:val="00544F5D"/>
    <w:rsid w:val="00546674"/>
    <w:rsid w:val="00555BC9"/>
    <w:rsid w:val="00556CF6"/>
    <w:rsid w:val="00560990"/>
    <w:rsid w:val="00560B1D"/>
    <w:rsid w:val="00565635"/>
    <w:rsid w:val="00566672"/>
    <w:rsid w:val="00570C3C"/>
    <w:rsid w:val="00571869"/>
    <w:rsid w:val="00571933"/>
    <w:rsid w:val="005745C4"/>
    <w:rsid w:val="00577AC2"/>
    <w:rsid w:val="00582E5E"/>
    <w:rsid w:val="005842FF"/>
    <w:rsid w:val="005861FD"/>
    <w:rsid w:val="00587493"/>
    <w:rsid w:val="005A0BDE"/>
    <w:rsid w:val="005B1EDD"/>
    <w:rsid w:val="005B32CB"/>
    <w:rsid w:val="005C4949"/>
    <w:rsid w:val="005C5954"/>
    <w:rsid w:val="005D4F9B"/>
    <w:rsid w:val="005D62BD"/>
    <w:rsid w:val="005E1663"/>
    <w:rsid w:val="005E199D"/>
    <w:rsid w:val="005E529D"/>
    <w:rsid w:val="005F4006"/>
    <w:rsid w:val="005F5189"/>
    <w:rsid w:val="005F656A"/>
    <w:rsid w:val="00600127"/>
    <w:rsid w:val="006001BD"/>
    <w:rsid w:val="0060170A"/>
    <w:rsid w:val="00602721"/>
    <w:rsid w:val="00605DC9"/>
    <w:rsid w:val="006067D1"/>
    <w:rsid w:val="006068CF"/>
    <w:rsid w:val="00606C4F"/>
    <w:rsid w:val="006133AD"/>
    <w:rsid w:val="00617E81"/>
    <w:rsid w:val="00621BBB"/>
    <w:rsid w:val="006245B0"/>
    <w:rsid w:val="00630CE5"/>
    <w:rsid w:val="00634331"/>
    <w:rsid w:val="006542FB"/>
    <w:rsid w:val="00654667"/>
    <w:rsid w:val="0065530F"/>
    <w:rsid w:val="006556AD"/>
    <w:rsid w:val="0065588E"/>
    <w:rsid w:val="006600D1"/>
    <w:rsid w:val="00663CE1"/>
    <w:rsid w:val="00663F3A"/>
    <w:rsid w:val="00677866"/>
    <w:rsid w:val="00682D88"/>
    <w:rsid w:val="00690421"/>
    <w:rsid w:val="006968D9"/>
    <w:rsid w:val="006A0C86"/>
    <w:rsid w:val="006A150E"/>
    <w:rsid w:val="006A17D6"/>
    <w:rsid w:val="006A3580"/>
    <w:rsid w:val="006A3BA8"/>
    <w:rsid w:val="006A5E51"/>
    <w:rsid w:val="006A672F"/>
    <w:rsid w:val="006B0AF8"/>
    <w:rsid w:val="006B0E83"/>
    <w:rsid w:val="006B1299"/>
    <w:rsid w:val="006B2ACF"/>
    <w:rsid w:val="006C2924"/>
    <w:rsid w:val="006C3E7C"/>
    <w:rsid w:val="006C4615"/>
    <w:rsid w:val="006D1B82"/>
    <w:rsid w:val="006D1E2F"/>
    <w:rsid w:val="006D28F3"/>
    <w:rsid w:val="006D3B56"/>
    <w:rsid w:val="006D46E3"/>
    <w:rsid w:val="006D7C6B"/>
    <w:rsid w:val="006F098E"/>
    <w:rsid w:val="006F5144"/>
    <w:rsid w:val="006F5567"/>
    <w:rsid w:val="00701B98"/>
    <w:rsid w:val="0070205E"/>
    <w:rsid w:val="00702A85"/>
    <w:rsid w:val="007077E8"/>
    <w:rsid w:val="00713D25"/>
    <w:rsid w:val="00714B65"/>
    <w:rsid w:val="00715B91"/>
    <w:rsid w:val="007163FA"/>
    <w:rsid w:val="007303B5"/>
    <w:rsid w:val="00730583"/>
    <w:rsid w:val="00732714"/>
    <w:rsid w:val="00734F86"/>
    <w:rsid w:val="00743C6C"/>
    <w:rsid w:val="00745B2C"/>
    <w:rsid w:val="00754C01"/>
    <w:rsid w:val="007564AC"/>
    <w:rsid w:val="007610C9"/>
    <w:rsid w:val="007635C1"/>
    <w:rsid w:val="00766E68"/>
    <w:rsid w:val="007705A0"/>
    <w:rsid w:val="007742E3"/>
    <w:rsid w:val="00777121"/>
    <w:rsid w:val="00782E79"/>
    <w:rsid w:val="00786072"/>
    <w:rsid w:val="007906AE"/>
    <w:rsid w:val="00790768"/>
    <w:rsid w:val="00796EF2"/>
    <w:rsid w:val="007A5CD0"/>
    <w:rsid w:val="007B034D"/>
    <w:rsid w:val="007B211F"/>
    <w:rsid w:val="007B48A7"/>
    <w:rsid w:val="007C1E6E"/>
    <w:rsid w:val="007C57D1"/>
    <w:rsid w:val="007C59F7"/>
    <w:rsid w:val="007C7814"/>
    <w:rsid w:val="007D34BD"/>
    <w:rsid w:val="007D40E3"/>
    <w:rsid w:val="007D4414"/>
    <w:rsid w:val="007D5D12"/>
    <w:rsid w:val="007D79ED"/>
    <w:rsid w:val="007E250D"/>
    <w:rsid w:val="007E34E3"/>
    <w:rsid w:val="007E4BF3"/>
    <w:rsid w:val="007E7623"/>
    <w:rsid w:val="007F7852"/>
    <w:rsid w:val="008016E9"/>
    <w:rsid w:val="008077EE"/>
    <w:rsid w:val="00812D27"/>
    <w:rsid w:val="008152B3"/>
    <w:rsid w:val="00823566"/>
    <w:rsid w:val="00823680"/>
    <w:rsid w:val="008264B0"/>
    <w:rsid w:val="00833B13"/>
    <w:rsid w:val="00835099"/>
    <w:rsid w:val="00835243"/>
    <w:rsid w:val="00841581"/>
    <w:rsid w:val="00843171"/>
    <w:rsid w:val="008431AF"/>
    <w:rsid w:val="008504AB"/>
    <w:rsid w:val="00851537"/>
    <w:rsid w:val="00852721"/>
    <w:rsid w:val="00853656"/>
    <w:rsid w:val="00855F15"/>
    <w:rsid w:val="00861F6B"/>
    <w:rsid w:val="00861FB4"/>
    <w:rsid w:val="00866599"/>
    <w:rsid w:val="00866E27"/>
    <w:rsid w:val="00873D42"/>
    <w:rsid w:val="00874E54"/>
    <w:rsid w:val="00877495"/>
    <w:rsid w:val="00882279"/>
    <w:rsid w:val="00893A18"/>
    <w:rsid w:val="00895F3B"/>
    <w:rsid w:val="008966F8"/>
    <w:rsid w:val="008A2A23"/>
    <w:rsid w:val="008A3699"/>
    <w:rsid w:val="008A5FDD"/>
    <w:rsid w:val="008B495A"/>
    <w:rsid w:val="008B7232"/>
    <w:rsid w:val="008C2F50"/>
    <w:rsid w:val="008C5AF2"/>
    <w:rsid w:val="008C7544"/>
    <w:rsid w:val="008D15DD"/>
    <w:rsid w:val="008D1F8F"/>
    <w:rsid w:val="008D3175"/>
    <w:rsid w:val="008D56C6"/>
    <w:rsid w:val="008D5B84"/>
    <w:rsid w:val="008D5D3E"/>
    <w:rsid w:val="008D5E90"/>
    <w:rsid w:val="008D6FC6"/>
    <w:rsid w:val="008E4B85"/>
    <w:rsid w:val="008E6B4F"/>
    <w:rsid w:val="008E6F4F"/>
    <w:rsid w:val="008E70CA"/>
    <w:rsid w:val="008F1F74"/>
    <w:rsid w:val="008F2937"/>
    <w:rsid w:val="008F78EB"/>
    <w:rsid w:val="00905E7A"/>
    <w:rsid w:val="00907F33"/>
    <w:rsid w:val="0091129E"/>
    <w:rsid w:val="009127B1"/>
    <w:rsid w:val="00913BD4"/>
    <w:rsid w:val="00916AA7"/>
    <w:rsid w:val="00927338"/>
    <w:rsid w:val="009305D2"/>
    <w:rsid w:val="009325BE"/>
    <w:rsid w:val="0094130F"/>
    <w:rsid w:val="00942555"/>
    <w:rsid w:val="00944362"/>
    <w:rsid w:val="009449ED"/>
    <w:rsid w:val="00950B4D"/>
    <w:rsid w:val="00953330"/>
    <w:rsid w:val="00954886"/>
    <w:rsid w:val="009554AE"/>
    <w:rsid w:val="00962A0E"/>
    <w:rsid w:val="009668BF"/>
    <w:rsid w:val="00981C1D"/>
    <w:rsid w:val="00983ECD"/>
    <w:rsid w:val="00987842"/>
    <w:rsid w:val="009925D6"/>
    <w:rsid w:val="00992740"/>
    <w:rsid w:val="0099470E"/>
    <w:rsid w:val="009A3582"/>
    <w:rsid w:val="009A4607"/>
    <w:rsid w:val="009A7B50"/>
    <w:rsid w:val="009B2FAC"/>
    <w:rsid w:val="009B6604"/>
    <w:rsid w:val="009C0258"/>
    <w:rsid w:val="009C4900"/>
    <w:rsid w:val="009C53C4"/>
    <w:rsid w:val="009D2AB2"/>
    <w:rsid w:val="009D2D65"/>
    <w:rsid w:val="009D38BD"/>
    <w:rsid w:val="009D4C86"/>
    <w:rsid w:val="009E0989"/>
    <w:rsid w:val="009E2272"/>
    <w:rsid w:val="009E7652"/>
    <w:rsid w:val="00A010A0"/>
    <w:rsid w:val="00A16142"/>
    <w:rsid w:val="00A20984"/>
    <w:rsid w:val="00A21A01"/>
    <w:rsid w:val="00A22104"/>
    <w:rsid w:val="00A2249C"/>
    <w:rsid w:val="00A30C49"/>
    <w:rsid w:val="00A35978"/>
    <w:rsid w:val="00A40A1D"/>
    <w:rsid w:val="00A41228"/>
    <w:rsid w:val="00A460F5"/>
    <w:rsid w:val="00A506E1"/>
    <w:rsid w:val="00A55CE8"/>
    <w:rsid w:val="00A56A13"/>
    <w:rsid w:val="00A62D6E"/>
    <w:rsid w:val="00A65BDD"/>
    <w:rsid w:val="00A67435"/>
    <w:rsid w:val="00A81719"/>
    <w:rsid w:val="00A84D1A"/>
    <w:rsid w:val="00A9150C"/>
    <w:rsid w:val="00A96920"/>
    <w:rsid w:val="00AA1EBB"/>
    <w:rsid w:val="00AA1F5B"/>
    <w:rsid w:val="00AA5B06"/>
    <w:rsid w:val="00AA73FE"/>
    <w:rsid w:val="00AA7AB1"/>
    <w:rsid w:val="00AA7BAE"/>
    <w:rsid w:val="00AB416D"/>
    <w:rsid w:val="00AC29AF"/>
    <w:rsid w:val="00AC3A13"/>
    <w:rsid w:val="00AC4747"/>
    <w:rsid w:val="00AC49B6"/>
    <w:rsid w:val="00AC5498"/>
    <w:rsid w:val="00AD44D4"/>
    <w:rsid w:val="00AD686A"/>
    <w:rsid w:val="00AD6CE5"/>
    <w:rsid w:val="00AD754A"/>
    <w:rsid w:val="00AD792E"/>
    <w:rsid w:val="00AE00C1"/>
    <w:rsid w:val="00AE4353"/>
    <w:rsid w:val="00AF2D9B"/>
    <w:rsid w:val="00AF6E91"/>
    <w:rsid w:val="00B0C077"/>
    <w:rsid w:val="00B17BD7"/>
    <w:rsid w:val="00B25E0F"/>
    <w:rsid w:val="00B267E8"/>
    <w:rsid w:val="00B31289"/>
    <w:rsid w:val="00B345AE"/>
    <w:rsid w:val="00B36059"/>
    <w:rsid w:val="00B3677B"/>
    <w:rsid w:val="00B36A6D"/>
    <w:rsid w:val="00B36C34"/>
    <w:rsid w:val="00B40026"/>
    <w:rsid w:val="00B455CC"/>
    <w:rsid w:val="00B468F4"/>
    <w:rsid w:val="00B47049"/>
    <w:rsid w:val="00B47DA7"/>
    <w:rsid w:val="00B507CF"/>
    <w:rsid w:val="00B54325"/>
    <w:rsid w:val="00B55433"/>
    <w:rsid w:val="00B5714E"/>
    <w:rsid w:val="00B6171C"/>
    <w:rsid w:val="00B64571"/>
    <w:rsid w:val="00B71F57"/>
    <w:rsid w:val="00B7428B"/>
    <w:rsid w:val="00B765E5"/>
    <w:rsid w:val="00B77567"/>
    <w:rsid w:val="00B821D9"/>
    <w:rsid w:val="00B835D3"/>
    <w:rsid w:val="00B92D97"/>
    <w:rsid w:val="00B93864"/>
    <w:rsid w:val="00B94887"/>
    <w:rsid w:val="00B9552E"/>
    <w:rsid w:val="00BA176B"/>
    <w:rsid w:val="00BA2D76"/>
    <w:rsid w:val="00BA727F"/>
    <w:rsid w:val="00BA79CF"/>
    <w:rsid w:val="00BB03E5"/>
    <w:rsid w:val="00BB0451"/>
    <w:rsid w:val="00BB0675"/>
    <w:rsid w:val="00BB1146"/>
    <w:rsid w:val="00BB1CE2"/>
    <w:rsid w:val="00BB5287"/>
    <w:rsid w:val="00BC28FF"/>
    <w:rsid w:val="00BC3AF2"/>
    <w:rsid w:val="00BC7061"/>
    <w:rsid w:val="00BD572A"/>
    <w:rsid w:val="00BD5C04"/>
    <w:rsid w:val="00BD64E2"/>
    <w:rsid w:val="00BE40FE"/>
    <w:rsid w:val="00BE689C"/>
    <w:rsid w:val="00BF2632"/>
    <w:rsid w:val="00BF6C65"/>
    <w:rsid w:val="00BF6F95"/>
    <w:rsid w:val="00C024A6"/>
    <w:rsid w:val="00C06F4D"/>
    <w:rsid w:val="00C107DA"/>
    <w:rsid w:val="00C14120"/>
    <w:rsid w:val="00C179B8"/>
    <w:rsid w:val="00C25AF8"/>
    <w:rsid w:val="00C30DE4"/>
    <w:rsid w:val="00C367FD"/>
    <w:rsid w:val="00C41E01"/>
    <w:rsid w:val="00C44C45"/>
    <w:rsid w:val="00C44F23"/>
    <w:rsid w:val="00C529B1"/>
    <w:rsid w:val="00C53450"/>
    <w:rsid w:val="00C53E0B"/>
    <w:rsid w:val="00C54647"/>
    <w:rsid w:val="00C6529D"/>
    <w:rsid w:val="00C71EAC"/>
    <w:rsid w:val="00C72FCE"/>
    <w:rsid w:val="00C764B6"/>
    <w:rsid w:val="00C76C6A"/>
    <w:rsid w:val="00C80521"/>
    <w:rsid w:val="00C826B2"/>
    <w:rsid w:val="00C840CA"/>
    <w:rsid w:val="00C84349"/>
    <w:rsid w:val="00C8515F"/>
    <w:rsid w:val="00C8573C"/>
    <w:rsid w:val="00C85FF6"/>
    <w:rsid w:val="00C8ECB5"/>
    <w:rsid w:val="00C91358"/>
    <w:rsid w:val="00C916D3"/>
    <w:rsid w:val="00C92B3F"/>
    <w:rsid w:val="00C975D2"/>
    <w:rsid w:val="00CA3330"/>
    <w:rsid w:val="00CA6BEF"/>
    <w:rsid w:val="00CA7CC5"/>
    <w:rsid w:val="00CA7D81"/>
    <w:rsid w:val="00CB1CEE"/>
    <w:rsid w:val="00CB2915"/>
    <w:rsid w:val="00CB389B"/>
    <w:rsid w:val="00CB5CB1"/>
    <w:rsid w:val="00CC06E6"/>
    <w:rsid w:val="00CC241D"/>
    <w:rsid w:val="00CC318E"/>
    <w:rsid w:val="00CC4E50"/>
    <w:rsid w:val="00CC6A41"/>
    <w:rsid w:val="00CC6EE5"/>
    <w:rsid w:val="00CD791D"/>
    <w:rsid w:val="00CE5612"/>
    <w:rsid w:val="00CF2408"/>
    <w:rsid w:val="00CF2466"/>
    <w:rsid w:val="00CF52A1"/>
    <w:rsid w:val="00D002E3"/>
    <w:rsid w:val="00D02DAA"/>
    <w:rsid w:val="00D050B9"/>
    <w:rsid w:val="00D058A5"/>
    <w:rsid w:val="00D06A84"/>
    <w:rsid w:val="00D06D46"/>
    <w:rsid w:val="00D14A94"/>
    <w:rsid w:val="00D15F85"/>
    <w:rsid w:val="00D30B95"/>
    <w:rsid w:val="00D34EE6"/>
    <w:rsid w:val="00D35525"/>
    <w:rsid w:val="00D3658E"/>
    <w:rsid w:val="00D41474"/>
    <w:rsid w:val="00D437EF"/>
    <w:rsid w:val="00D43AD3"/>
    <w:rsid w:val="00D46CE3"/>
    <w:rsid w:val="00D47B89"/>
    <w:rsid w:val="00D50E6C"/>
    <w:rsid w:val="00D52D7E"/>
    <w:rsid w:val="00D536C8"/>
    <w:rsid w:val="00D61410"/>
    <w:rsid w:val="00D622AF"/>
    <w:rsid w:val="00D655FB"/>
    <w:rsid w:val="00D6776C"/>
    <w:rsid w:val="00D72594"/>
    <w:rsid w:val="00D826C5"/>
    <w:rsid w:val="00D86DC4"/>
    <w:rsid w:val="00D8774D"/>
    <w:rsid w:val="00D915D5"/>
    <w:rsid w:val="00D91AA1"/>
    <w:rsid w:val="00D91AD7"/>
    <w:rsid w:val="00D95119"/>
    <w:rsid w:val="00D95C57"/>
    <w:rsid w:val="00D96D01"/>
    <w:rsid w:val="00D97ED0"/>
    <w:rsid w:val="00DA0740"/>
    <w:rsid w:val="00DA2705"/>
    <w:rsid w:val="00DA2B25"/>
    <w:rsid w:val="00DA6D28"/>
    <w:rsid w:val="00DA7B97"/>
    <w:rsid w:val="00DB0E4C"/>
    <w:rsid w:val="00DB250E"/>
    <w:rsid w:val="00DB2592"/>
    <w:rsid w:val="00DC371E"/>
    <w:rsid w:val="00DD17C9"/>
    <w:rsid w:val="00DE04C6"/>
    <w:rsid w:val="00DE5EBE"/>
    <w:rsid w:val="00DF43A0"/>
    <w:rsid w:val="00E03A6A"/>
    <w:rsid w:val="00E0E622"/>
    <w:rsid w:val="00E1024C"/>
    <w:rsid w:val="00E15C17"/>
    <w:rsid w:val="00E20A79"/>
    <w:rsid w:val="00E22B45"/>
    <w:rsid w:val="00E249CF"/>
    <w:rsid w:val="00E2656A"/>
    <w:rsid w:val="00E30236"/>
    <w:rsid w:val="00E31944"/>
    <w:rsid w:val="00E36BE8"/>
    <w:rsid w:val="00E40598"/>
    <w:rsid w:val="00E4071F"/>
    <w:rsid w:val="00E42790"/>
    <w:rsid w:val="00E42E9A"/>
    <w:rsid w:val="00E433E8"/>
    <w:rsid w:val="00E4784D"/>
    <w:rsid w:val="00E4791A"/>
    <w:rsid w:val="00E51D1B"/>
    <w:rsid w:val="00E54FE5"/>
    <w:rsid w:val="00E56BF5"/>
    <w:rsid w:val="00E56E80"/>
    <w:rsid w:val="00E6199D"/>
    <w:rsid w:val="00E61D0B"/>
    <w:rsid w:val="00E636BD"/>
    <w:rsid w:val="00E66E70"/>
    <w:rsid w:val="00E745D1"/>
    <w:rsid w:val="00E74A75"/>
    <w:rsid w:val="00E81348"/>
    <w:rsid w:val="00E854B3"/>
    <w:rsid w:val="00E934F6"/>
    <w:rsid w:val="00E946F1"/>
    <w:rsid w:val="00E975DD"/>
    <w:rsid w:val="00E97C83"/>
    <w:rsid w:val="00EA617E"/>
    <w:rsid w:val="00EA640E"/>
    <w:rsid w:val="00EA7851"/>
    <w:rsid w:val="00EB3ABB"/>
    <w:rsid w:val="00EB7B53"/>
    <w:rsid w:val="00EB7F37"/>
    <w:rsid w:val="00EC0D7D"/>
    <w:rsid w:val="00ED1A39"/>
    <w:rsid w:val="00ED1ED5"/>
    <w:rsid w:val="00ED6B9E"/>
    <w:rsid w:val="00EE0B1D"/>
    <w:rsid w:val="00EE0ECF"/>
    <w:rsid w:val="00EE3311"/>
    <w:rsid w:val="00EE689C"/>
    <w:rsid w:val="00EE7D72"/>
    <w:rsid w:val="00EF1010"/>
    <w:rsid w:val="00EF48B4"/>
    <w:rsid w:val="00EF4F94"/>
    <w:rsid w:val="00EF5428"/>
    <w:rsid w:val="00EF5BAC"/>
    <w:rsid w:val="00F00005"/>
    <w:rsid w:val="00F04338"/>
    <w:rsid w:val="00F10C18"/>
    <w:rsid w:val="00F1372D"/>
    <w:rsid w:val="00F140D5"/>
    <w:rsid w:val="00F1766F"/>
    <w:rsid w:val="00F21495"/>
    <w:rsid w:val="00F30A8E"/>
    <w:rsid w:val="00F30D68"/>
    <w:rsid w:val="00F432B6"/>
    <w:rsid w:val="00F43AF3"/>
    <w:rsid w:val="00F46F80"/>
    <w:rsid w:val="00F473F6"/>
    <w:rsid w:val="00F55683"/>
    <w:rsid w:val="00F55C55"/>
    <w:rsid w:val="00F6440D"/>
    <w:rsid w:val="00F65574"/>
    <w:rsid w:val="00F66C0B"/>
    <w:rsid w:val="00F6762C"/>
    <w:rsid w:val="00F75E44"/>
    <w:rsid w:val="00F83CB1"/>
    <w:rsid w:val="00F85A3A"/>
    <w:rsid w:val="00F85C02"/>
    <w:rsid w:val="00F864AF"/>
    <w:rsid w:val="00F8675A"/>
    <w:rsid w:val="00F9311A"/>
    <w:rsid w:val="00F944E0"/>
    <w:rsid w:val="00FA5B39"/>
    <w:rsid w:val="00FA5B62"/>
    <w:rsid w:val="00FB561F"/>
    <w:rsid w:val="00FC7758"/>
    <w:rsid w:val="00FC792E"/>
    <w:rsid w:val="00FC7CA5"/>
    <w:rsid w:val="00FD0D6B"/>
    <w:rsid w:val="00FD19A1"/>
    <w:rsid w:val="00FD53DD"/>
    <w:rsid w:val="00FD67D2"/>
    <w:rsid w:val="00FE4D80"/>
    <w:rsid w:val="00FF2403"/>
    <w:rsid w:val="00FF2AC8"/>
    <w:rsid w:val="00FF4B42"/>
    <w:rsid w:val="011539C6"/>
    <w:rsid w:val="01225571"/>
    <w:rsid w:val="0122B4E8"/>
    <w:rsid w:val="012B2F62"/>
    <w:rsid w:val="014DAF94"/>
    <w:rsid w:val="01523C62"/>
    <w:rsid w:val="01656BC5"/>
    <w:rsid w:val="0187A1F1"/>
    <w:rsid w:val="01A6AF88"/>
    <w:rsid w:val="02039FE4"/>
    <w:rsid w:val="02241C45"/>
    <w:rsid w:val="0232E03D"/>
    <w:rsid w:val="0239532B"/>
    <w:rsid w:val="024C9ABD"/>
    <w:rsid w:val="024E246F"/>
    <w:rsid w:val="0278C50C"/>
    <w:rsid w:val="0282DCA6"/>
    <w:rsid w:val="02BF1DD0"/>
    <w:rsid w:val="02C1F2D6"/>
    <w:rsid w:val="02C21328"/>
    <w:rsid w:val="02DFCD02"/>
    <w:rsid w:val="02EBE134"/>
    <w:rsid w:val="030E63F8"/>
    <w:rsid w:val="031495BD"/>
    <w:rsid w:val="031EF99C"/>
    <w:rsid w:val="0344FAA4"/>
    <w:rsid w:val="03574AB6"/>
    <w:rsid w:val="0362EC81"/>
    <w:rsid w:val="036B1E8D"/>
    <w:rsid w:val="038020CA"/>
    <w:rsid w:val="0387A8A7"/>
    <w:rsid w:val="038A21D4"/>
    <w:rsid w:val="0398D422"/>
    <w:rsid w:val="03993276"/>
    <w:rsid w:val="039E4155"/>
    <w:rsid w:val="03AB801D"/>
    <w:rsid w:val="03ADF21E"/>
    <w:rsid w:val="03B12BE3"/>
    <w:rsid w:val="03BD3581"/>
    <w:rsid w:val="03FACB00"/>
    <w:rsid w:val="041CBE37"/>
    <w:rsid w:val="045CB38A"/>
    <w:rsid w:val="04845ECF"/>
    <w:rsid w:val="0489F538"/>
    <w:rsid w:val="0491072E"/>
    <w:rsid w:val="049D5755"/>
    <w:rsid w:val="04AA403C"/>
    <w:rsid w:val="04CC1872"/>
    <w:rsid w:val="04CFB4BD"/>
    <w:rsid w:val="04E63BC6"/>
    <w:rsid w:val="04F0E168"/>
    <w:rsid w:val="05281552"/>
    <w:rsid w:val="053069EC"/>
    <w:rsid w:val="0556C0E7"/>
    <w:rsid w:val="055767F8"/>
    <w:rsid w:val="055FED20"/>
    <w:rsid w:val="056F6165"/>
    <w:rsid w:val="059FC26F"/>
    <w:rsid w:val="05C5220F"/>
    <w:rsid w:val="05D1DF5D"/>
    <w:rsid w:val="05E2575E"/>
    <w:rsid w:val="05EBDB33"/>
    <w:rsid w:val="063AA225"/>
    <w:rsid w:val="0652C764"/>
    <w:rsid w:val="06764BF3"/>
    <w:rsid w:val="0682CC05"/>
    <w:rsid w:val="069594D7"/>
    <w:rsid w:val="06B72A14"/>
    <w:rsid w:val="06BA0CD6"/>
    <w:rsid w:val="073D5FB0"/>
    <w:rsid w:val="075F21CC"/>
    <w:rsid w:val="078C1F4E"/>
    <w:rsid w:val="078C78D9"/>
    <w:rsid w:val="07981A44"/>
    <w:rsid w:val="079DB3A8"/>
    <w:rsid w:val="07A83000"/>
    <w:rsid w:val="07CFCB2D"/>
    <w:rsid w:val="07DA3C39"/>
    <w:rsid w:val="08003C59"/>
    <w:rsid w:val="080B2BE8"/>
    <w:rsid w:val="08396567"/>
    <w:rsid w:val="083D1A71"/>
    <w:rsid w:val="0840F959"/>
    <w:rsid w:val="0851F327"/>
    <w:rsid w:val="0859EACD"/>
    <w:rsid w:val="08651BB5"/>
    <w:rsid w:val="086F4871"/>
    <w:rsid w:val="0886E84F"/>
    <w:rsid w:val="08D421B8"/>
    <w:rsid w:val="092F8450"/>
    <w:rsid w:val="095CF06D"/>
    <w:rsid w:val="0976BFF8"/>
    <w:rsid w:val="09807F55"/>
    <w:rsid w:val="0990B86C"/>
    <w:rsid w:val="09AB6DE2"/>
    <w:rsid w:val="09BEA626"/>
    <w:rsid w:val="09DF4BCF"/>
    <w:rsid w:val="0A059EA0"/>
    <w:rsid w:val="0A09F5F5"/>
    <w:rsid w:val="0A2E8C47"/>
    <w:rsid w:val="0A3737E4"/>
    <w:rsid w:val="0A4DCC76"/>
    <w:rsid w:val="0A540C50"/>
    <w:rsid w:val="0A735035"/>
    <w:rsid w:val="0AAFC008"/>
    <w:rsid w:val="0ABBCECC"/>
    <w:rsid w:val="0AE58212"/>
    <w:rsid w:val="0AFA5356"/>
    <w:rsid w:val="0B127F94"/>
    <w:rsid w:val="0B26BB6A"/>
    <w:rsid w:val="0B4BFD28"/>
    <w:rsid w:val="0B572E10"/>
    <w:rsid w:val="0B65EF00"/>
    <w:rsid w:val="0B679F99"/>
    <w:rsid w:val="0B6B3CF0"/>
    <w:rsid w:val="0B6F277D"/>
    <w:rsid w:val="0B9F9F04"/>
    <w:rsid w:val="0BBBB187"/>
    <w:rsid w:val="0BCDFD80"/>
    <w:rsid w:val="0BE78D6B"/>
    <w:rsid w:val="0C15B6F6"/>
    <w:rsid w:val="0C43A1DF"/>
    <w:rsid w:val="0C7C320C"/>
    <w:rsid w:val="0C7F87A8"/>
    <w:rsid w:val="0C81592F"/>
    <w:rsid w:val="0C867F5E"/>
    <w:rsid w:val="0C8F40DD"/>
    <w:rsid w:val="0C8F661C"/>
    <w:rsid w:val="0CBDFA1C"/>
    <w:rsid w:val="0CCF0AFB"/>
    <w:rsid w:val="0CE4F236"/>
    <w:rsid w:val="0CFD14CF"/>
    <w:rsid w:val="0D00CDAD"/>
    <w:rsid w:val="0D06DA80"/>
    <w:rsid w:val="0D256F79"/>
    <w:rsid w:val="0D3A6CC7"/>
    <w:rsid w:val="0D4E9C63"/>
    <w:rsid w:val="0D6D5A6E"/>
    <w:rsid w:val="0D7D8EFE"/>
    <w:rsid w:val="0D84BCD3"/>
    <w:rsid w:val="0D862754"/>
    <w:rsid w:val="0DCCFCD8"/>
    <w:rsid w:val="0DD3D6D6"/>
    <w:rsid w:val="0DD5AB6D"/>
    <w:rsid w:val="0DD63593"/>
    <w:rsid w:val="0DF177CD"/>
    <w:rsid w:val="0E021580"/>
    <w:rsid w:val="0E293E3F"/>
    <w:rsid w:val="0E498C1C"/>
    <w:rsid w:val="0E563BC1"/>
    <w:rsid w:val="0E6139D8"/>
    <w:rsid w:val="0E8A0A70"/>
    <w:rsid w:val="0EB003F4"/>
    <w:rsid w:val="0EEB27B6"/>
    <w:rsid w:val="0F3C8188"/>
    <w:rsid w:val="0F5E60E6"/>
    <w:rsid w:val="0F675523"/>
    <w:rsid w:val="0F7632FC"/>
    <w:rsid w:val="0FC4E360"/>
    <w:rsid w:val="0FD167EC"/>
    <w:rsid w:val="0FD865A7"/>
    <w:rsid w:val="0FE9512E"/>
    <w:rsid w:val="10088E2C"/>
    <w:rsid w:val="1028251F"/>
    <w:rsid w:val="102ADF52"/>
    <w:rsid w:val="102F7023"/>
    <w:rsid w:val="10412DDB"/>
    <w:rsid w:val="10605389"/>
    <w:rsid w:val="10C5E931"/>
    <w:rsid w:val="10E1A035"/>
    <w:rsid w:val="10EBDA2E"/>
    <w:rsid w:val="110AE020"/>
    <w:rsid w:val="110D6FD6"/>
    <w:rsid w:val="11182E7F"/>
    <w:rsid w:val="11298DAA"/>
    <w:rsid w:val="11534C33"/>
    <w:rsid w:val="11679DAB"/>
    <w:rsid w:val="117DBFA2"/>
    <w:rsid w:val="11CBB221"/>
    <w:rsid w:val="11F1BD4B"/>
    <w:rsid w:val="125BC436"/>
    <w:rsid w:val="12684999"/>
    <w:rsid w:val="126B07DE"/>
    <w:rsid w:val="126EC437"/>
    <w:rsid w:val="128664D3"/>
    <w:rsid w:val="12C501D3"/>
    <w:rsid w:val="12E02D06"/>
    <w:rsid w:val="12E6140B"/>
    <w:rsid w:val="12EB4C12"/>
    <w:rsid w:val="1307EB81"/>
    <w:rsid w:val="131529AA"/>
    <w:rsid w:val="132D2317"/>
    <w:rsid w:val="1339B9DA"/>
    <w:rsid w:val="1356817A"/>
    <w:rsid w:val="1379D4BB"/>
    <w:rsid w:val="139E2414"/>
    <w:rsid w:val="13A889A0"/>
    <w:rsid w:val="13B09AFF"/>
    <w:rsid w:val="13EF923B"/>
    <w:rsid w:val="14293B6A"/>
    <w:rsid w:val="142A4A25"/>
    <w:rsid w:val="1450A01E"/>
    <w:rsid w:val="1462B805"/>
    <w:rsid w:val="1463FC49"/>
    <w:rsid w:val="147A9209"/>
    <w:rsid w:val="149FCB4D"/>
    <w:rsid w:val="14B625F6"/>
    <w:rsid w:val="14E3CFA6"/>
    <w:rsid w:val="150682EA"/>
    <w:rsid w:val="151947A2"/>
    <w:rsid w:val="15387EF8"/>
    <w:rsid w:val="15508376"/>
    <w:rsid w:val="1550CBE9"/>
    <w:rsid w:val="15606DE0"/>
    <w:rsid w:val="1578772E"/>
    <w:rsid w:val="15948862"/>
    <w:rsid w:val="15AD8974"/>
    <w:rsid w:val="15AF8C4A"/>
    <w:rsid w:val="1604B868"/>
    <w:rsid w:val="1621E85C"/>
    <w:rsid w:val="166BE716"/>
    <w:rsid w:val="167AB521"/>
    <w:rsid w:val="167C589F"/>
    <w:rsid w:val="1698FA3A"/>
    <w:rsid w:val="16B0B66B"/>
    <w:rsid w:val="16D0CB92"/>
    <w:rsid w:val="16DDA8B6"/>
    <w:rsid w:val="16E5ABDE"/>
    <w:rsid w:val="172F7E0E"/>
    <w:rsid w:val="17573042"/>
    <w:rsid w:val="17655D4E"/>
    <w:rsid w:val="177BB53B"/>
    <w:rsid w:val="17816C1F"/>
    <w:rsid w:val="1791CA8B"/>
    <w:rsid w:val="17B4536F"/>
    <w:rsid w:val="17D5E201"/>
    <w:rsid w:val="17D6C17A"/>
    <w:rsid w:val="17DB80D1"/>
    <w:rsid w:val="180293C6"/>
    <w:rsid w:val="1803E800"/>
    <w:rsid w:val="182609D8"/>
    <w:rsid w:val="182DDA2F"/>
    <w:rsid w:val="1832D25D"/>
    <w:rsid w:val="1884D652"/>
    <w:rsid w:val="18BA30B2"/>
    <w:rsid w:val="18BDC8F1"/>
    <w:rsid w:val="18C2691B"/>
    <w:rsid w:val="18DE767E"/>
    <w:rsid w:val="18E1A8F9"/>
    <w:rsid w:val="18FC7689"/>
    <w:rsid w:val="1933FA01"/>
    <w:rsid w:val="1942580F"/>
    <w:rsid w:val="195085B5"/>
    <w:rsid w:val="1968DB94"/>
    <w:rsid w:val="1969CA9C"/>
    <w:rsid w:val="1983B208"/>
    <w:rsid w:val="1984DB0C"/>
    <w:rsid w:val="199813A4"/>
    <w:rsid w:val="19AFB8E5"/>
    <w:rsid w:val="19B4A6A8"/>
    <w:rsid w:val="19B7B008"/>
    <w:rsid w:val="19C27CE8"/>
    <w:rsid w:val="19CC131C"/>
    <w:rsid w:val="19E40C89"/>
    <w:rsid w:val="19EFB7A6"/>
    <w:rsid w:val="1A0C0663"/>
    <w:rsid w:val="1A14A064"/>
    <w:rsid w:val="1A1CB528"/>
    <w:rsid w:val="1A667174"/>
    <w:rsid w:val="1A7C805D"/>
    <w:rsid w:val="1A956731"/>
    <w:rsid w:val="1AC7F45C"/>
    <w:rsid w:val="1AFE543E"/>
    <w:rsid w:val="1B02D3B1"/>
    <w:rsid w:val="1B120BDF"/>
    <w:rsid w:val="1B176996"/>
    <w:rsid w:val="1B1E8DB0"/>
    <w:rsid w:val="1B349690"/>
    <w:rsid w:val="1B4931DE"/>
    <w:rsid w:val="1B51BC0B"/>
    <w:rsid w:val="1B6B6030"/>
    <w:rsid w:val="1B7CC744"/>
    <w:rsid w:val="1B7EB98D"/>
    <w:rsid w:val="1B875A36"/>
    <w:rsid w:val="1B939CCA"/>
    <w:rsid w:val="1BAFB2DC"/>
    <w:rsid w:val="1BB98C40"/>
    <w:rsid w:val="1BC9514E"/>
    <w:rsid w:val="1BD40BDA"/>
    <w:rsid w:val="1BD68F77"/>
    <w:rsid w:val="1BEE88E4"/>
    <w:rsid w:val="1C1E3751"/>
    <w:rsid w:val="1C231981"/>
    <w:rsid w:val="1C5B9B2C"/>
    <w:rsid w:val="1C623B93"/>
    <w:rsid w:val="1C839BA7"/>
    <w:rsid w:val="1C868E24"/>
    <w:rsid w:val="1C89163A"/>
    <w:rsid w:val="1CACEA8C"/>
    <w:rsid w:val="1CAFAD40"/>
    <w:rsid w:val="1CB9DC24"/>
    <w:rsid w:val="1CBCB61F"/>
    <w:rsid w:val="1D09EC84"/>
    <w:rsid w:val="1D1B6E5E"/>
    <w:rsid w:val="1D484626"/>
    <w:rsid w:val="1D536463"/>
    <w:rsid w:val="1D81058D"/>
    <w:rsid w:val="1D8D3C06"/>
    <w:rsid w:val="1DB5742B"/>
    <w:rsid w:val="1DD85A13"/>
    <w:rsid w:val="1DD98917"/>
    <w:rsid w:val="1DF7CBB1"/>
    <w:rsid w:val="1E027D46"/>
    <w:rsid w:val="1E097BF1"/>
    <w:rsid w:val="1E14E9D2"/>
    <w:rsid w:val="1E2E2DAA"/>
    <w:rsid w:val="1E48E258"/>
    <w:rsid w:val="1E5429C4"/>
    <w:rsid w:val="1E556C22"/>
    <w:rsid w:val="1E5D728B"/>
    <w:rsid w:val="1E63A8B7"/>
    <w:rsid w:val="1E6DEAD7"/>
    <w:rsid w:val="1E75F34E"/>
    <w:rsid w:val="1E7AF7AB"/>
    <w:rsid w:val="1E9A2C04"/>
    <w:rsid w:val="1EAB24F1"/>
    <w:rsid w:val="1EAB4EF2"/>
    <w:rsid w:val="1EAB9E9B"/>
    <w:rsid w:val="1EB5C2D7"/>
    <w:rsid w:val="1ED07229"/>
    <w:rsid w:val="1EE078A2"/>
    <w:rsid w:val="1EE5A90F"/>
    <w:rsid w:val="1EF48B47"/>
    <w:rsid w:val="1F0B1524"/>
    <w:rsid w:val="1F2ED0B7"/>
    <w:rsid w:val="1F325AB3"/>
    <w:rsid w:val="1F34F7FB"/>
    <w:rsid w:val="1F5E6A0F"/>
    <w:rsid w:val="1F603FE9"/>
    <w:rsid w:val="1F621ABC"/>
    <w:rsid w:val="1F715E96"/>
    <w:rsid w:val="1F836D21"/>
    <w:rsid w:val="1F98CB5E"/>
    <w:rsid w:val="1FABB280"/>
    <w:rsid w:val="1FB71327"/>
    <w:rsid w:val="1FBBE2EF"/>
    <w:rsid w:val="1FCB5968"/>
    <w:rsid w:val="1FF588E9"/>
    <w:rsid w:val="1FF82419"/>
    <w:rsid w:val="200F84FC"/>
    <w:rsid w:val="2013B3DF"/>
    <w:rsid w:val="2030CCB8"/>
    <w:rsid w:val="2050439E"/>
    <w:rsid w:val="205250DF"/>
    <w:rsid w:val="206B01AC"/>
    <w:rsid w:val="207BE53D"/>
    <w:rsid w:val="2082990D"/>
    <w:rsid w:val="209111A2"/>
    <w:rsid w:val="209544F5"/>
    <w:rsid w:val="20A78686"/>
    <w:rsid w:val="20BA7223"/>
    <w:rsid w:val="20CCBFCA"/>
    <w:rsid w:val="20CF19A0"/>
    <w:rsid w:val="20D6F248"/>
    <w:rsid w:val="20EB8265"/>
    <w:rsid w:val="21194826"/>
    <w:rsid w:val="211C3D7E"/>
    <w:rsid w:val="2140853B"/>
    <w:rsid w:val="21454A98"/>
    <w:rsid w:val="21687F15"/>
    <w:rsid w:val="2171DE44"/>
    <w:rsid w:val="21C25D46"/>
    <w:rsid w:val="21C56F71"/>
    <w:rsid w:val="21D6DCFC"/>
    <w:rsid w:val="22112874"/>
    <w:rsid w:val="223A09C3"/>
    <w:rsid w:val="224EDB07"/>
    <w:rsid w:val="22815D6A"/>
    <w:rsid w:val="2298C9F7"/>
    <w:rsid w:val="22AE281B"/>
    <w:rsid w:val="22F2EC39"/>
    <w:rsid w:val="230A8B97"/>
    <w:rsid w:val="232F91F6"/>
    <w:rsid w:val="233AC2DE"/>
    <w:rsid w:val="233FD0AE"/>
    <w:rsid w:val="234F8286"/>
    <w:rsid w:val="2355C898"/>
    <w:rsid w:val="236238EF"/>
    <w:rsid w:val="236A3EA7"/>
    <w:rsid w:val="238531B0"/>
    <w:rsid w:val="239C342A"/>
    <w:rsid w:val="23B1924E"/>
    <w:rsid w:val="23E837B2"/>
    <w:rsid w:val="23EF40C1"/>
    <w:rsid w:val="23F94BC4"/>
    <w:rsid w:val="23FE43F2"/>
    <w:rsid w:val="2408691E"/>
    <w:rsid w:val="240974DA"/>
    <w:rsid w:val="240E1D08"/>
    <w:rsid w:val="246A044B"/>
    <w:rsid w:val="246A1254"/>
    <w:rsid w:val="246AE626"/>
    <w:rsid w:val="2492D96C"/>
    <w:rsid w:val="249FC59B"/>
    <w:rsid w:val="24A4BDC9"/>
    <w:rsid w:val="24BCB736"/>
    <w:rsid w:val="24D1887A"/>
    <w:rsid w:val="25014B6A"/>
    <w:rsid w:val="251E3A1E"/>
    <w:rsid w:val="252A78A7"/>
    <w:rsid w:val="2553D8D2"/>
    <w:rsid w:val="256A872F"/>
    <w:rsid w:val="257C69C6"/>
    <w:rsid w:val="25A03A76"/>
    <w:rsid w:val="25D06021"/>
    <w:rsid w:val="25D3BFA7"/>
    <w:rsid w:val="25D4F2AD"/>
    <w:rsid w:val="2613C565"/>
    <w:rsid w:val="26228F43"/>
    <w:rsid w:val="2629F559"/>
    <w:rsid w:val="2631E309"/>
    <w:rsid w:val="268AE2FD"/>
    <w:rsid w:val="26A3A4A9"/>
    <w:rsid w:val="26C5E3C2"/>
    <w:rsid w:val="26D295BD"/>
    <w:rsid w:val="26DF3CA9"/>
    <w:rsid w:val="270341EA"/>
    <w:rsid w:val="2707C248"/>
    <w:rsid w:val="270BF2D6"/>
    <w:rsid w:val="271D9313"/>
    <w:rsid w:val="2744FF14"/>
    <w:rsid w:val="274E19CC"/>
    <w:rsid w:val="27536C05"/>
    <w:rsid w:val="27694B8A"/>
    <w:rsid w:val="2779B170"/>
    <w:rsid w:val="277D64DB"/>
    <w:rsid w:val="2789D0A0"/>
    <w:rsid w:val="27A9D163"/>
    <w:rsid w:val="27AEC991"/>
    <w:rsid w:val="27D5FCEB"/>
    <w:rsid w:val="27EBCC5F"/>
    <w:rsid w:val="27F071ED"/>
    <w:rsid w:val="27F85A01"/>
    <w:rsid w:val="280BB9ED"/>
    <w:rsid w:val="2823107C"/>
    <w:rsid w:val="2834201E"/>
    <w:rsid w:val="28504B3A"/>
    <w:rsid w:val="2864B9E1"/>
    <w:rsid w:val="286E5B81"/>
    <w:rsid w:val="287D95C4"/>
    <w:rsid w:val="28B85240"/>
    <w:rsid w:val="28E6C7D5"/>
    <w:rsid w:val="28ECFC16"/>
    <w:rsid w:val="290A1650"/>
    <w:rsid w:val="2948F158"/>
    <w:rsid w:val="29492EA8"/>
    <w:rsid w:val="294E9569"/>
    <w:rsid w:val="2953B56D"/>
    <w:rsid w:val="29671DBE"/>
    <w:rsid w:val="299D71B9"/>
    <w:rsid w:val="29A522FF"/>
    <w:rsid w:val="29ACE832"/>
    <w:rsid w:val="29C861FA"/>
    <w:rsid w:val="29D229F0"/>
    <w:rsid w:val="29F7468E"/>
    <w:rsid w:val="29FF303F"/>
    <w:rsid w:val="2A0A8AA3"/>
    <w:rsid w:val="2A1F9B59"/>
    <w:rsid w:val="2A4AFDB4"/>
    <w:rsid w:val="2A4F0ADC"/>
    <w:rsid w:val="2A9BBC80"/>
    <w:rsid w:val="2A9BE3BE"/>
    <w:rsid w:val="2AAA2A35"/>
    <w:rsid w:val="2AC02001"/>
    <w:rsid w:val="2AF06127"/>
    <w:rsid w:val="2AF8BE78"/>
    <w:rsid w:val="2B36499D"/>
    <w:rsid w:val="2B3713FE"/>
    <w:rsid w:val="2B425D95"/>
    <w:rsid w:val="2B5F3DD7"/>
    <w:rsid w:val="2B61D47B"/>
    <w:rsid w:val="2BAC00D4"/>
    <w:rsid w:val="2BB53C49"/>
    <w:rsid w:val="2BB731BC"/>
    <w:rsid w:val="2BBEC4D7"/>
    <w:rsid w:val="2BD8FE56"/>
    <w:rsid w:val="2BF8E082"/>
    <w:rsid w:val="2C0C847B"/>
    <w:rsid w:val="2C142218"/>
    <w:rsid w:val="2C3B4103"/>
    <w:rsid w:val="2C3E4B77"/>
    <w:rsid w:val="2C4B0D7F"/>
    <w:rsid w:val="2C823BC3"/>
    <w:rsid w:val="2C8C8806"/>
    <w:rsid w:val="2CA25E15"/>
    <w:rsid w:val="2CD2955C"/>
    <w:rsid w:val="2CE766A0"/>
    <w:rsid w:val="2CF9D77E"/>
    <w:rsid w:val="2D277675"/>
    <w:rsid w:val="2D3161D6"/>
    <w:rsid w:val="2D3406A8"/>
    <w:rsid w:val="2D4964CC"/>
    <w:rsid w:val="2D75D56E"/>
    <w:rsid w:val="2D796716"/>
    <w:rsid w:val="2D7A0FAF"/>
    <w:rsid w:val="2D80A24E"/>
    <w:rsid w:val="2D87D023"/>
    <w:rsid w:val="2DEABF37"/>
    <w:rsid w:val="2DF2A12A"/>
    <w:rsid w:val="2E184649"/>
    <w:rsid w:val="2E59F11F"/>
    <w:rsid w:val="2E6E5591"/>
    <w:rsid w:val="2EC3EE9C"/>
    <w:rsid w:val="2EC7584B"/>
    <w:rsid w:val="2EE4C1B6"/>
    <w:rsid w:val="2EF60B5D"/>
    <w:rsid w:val="2F0DC78E"/>
    <w:rsid w:val="2F23B07C"/>
    <w:rsid w:val="2F2A93AA"/>
    <w:rsid w:val="2F350E13"/>
    <w:rsid w:val="2F3C2520"/>
    <w:rsid w:val="2F5483BA"/>
    <w:rsid w:val="2F575109"/>
    <w:rsid w:val="2F7CD112"/>
    <w:rsid w:val="2FD335D6"/>
    <w:rsid w:val="2FDE7638"/>
    <w:rsid w:val="2FF8AB44"/>
    <w:rsid w:val="2FFF4D37"/>
    <w:rsid w:val="3005C3E0"/>
    <w:rsid w:val="301AC7F5"/>
    <w:rsid w:val="30264041"/>
    <w:rsid w:val="3027F3A4"/>
    <w:rsid w:val="30387846"/>
    <w:rsid w:val="3052E3B4"/>
    <w:rsid w:val="30533DC3"/>
    <w:rsid w:val="3097DAA3"/>
    <w:rsid w:val="30B7A1B0"/>
    <w:rsid w:val="30C2A27B"/>
    <w:rsid w:val="30C4598C"/>
    <w:rsid w:val="30C53DC7"/>
    <w:rsid w:val="30D6D2DA"/>
    <w:rsid w:val="30DF9446"/>
    <w:rsid w:val="31165DDE"/>
    <w:rsid w:val="3122BA05"/>
    <w:rsid w:val="31344E65"/>
    <w:rsid w:val="313EEB3F"/>
    <w:rsid w:val="31469C0F"/>
    <w:rsid w:val="31710A08"/>
    <w:rsid w:val="317B5446"/>
    <w:rsid w:val="318E1849"/>
    <w:rsid w:val="31B26C49"/>
    <w:rsid w:val="31C6E527"/>
    <w:rsid w:val="32050F53"/>
    <w:rsid w:val="32450E14"/>
    <w:rsid w:val="3259DF58"/>
    <w:rsid w:val="32698AEE"/>
    <w:rsid w:val="3272DB5C"/>
    <w:rsid w:val="32831F43"/>
    <w:rsid w:val="3296804F"/>
    <w:rsid w:val="32B705A0"/>
    <w:rsid w:val="32CAA7C0"/>
    <w:rsid w:val="32D3C14F"/>
    <w:rsid w:val="33070110"/>
    <w:rsid w:val="3313AA6E"/>
    <w:rsid w:val="331D4ACA"/>
    <w:rsid w:val="33384435"/>
    <w:rsid w:val="333CB029"/>
    <w:rsid w:val="334030B2"/>
    <w:rsid w:val="334528E0"/>
    <w:rsid w:val="335D498B"/>
    <w:rsid w:val="33646B8A"/>
    <w:rsid w:val="3369FC6E"/>
    <w:rsid w:val="337A3B26"/>
    <w:rsid w:val="338527A1"/>
    <w:rsid w:val="33B1C19B"/>
    <w:rsid w:val="33B39ADC"/>
    <w:rsid w:val="33BF2E52"/>
    <w:rsid w:val="33C8E535"/>
    <w:rsid w:val="33CE42EC"/>
    <w:rsid w:val="33D1A6A1"/>
    <w:rsid w:val="33D88F2F"/>
    <w:rsid w:val="33D9B0CD"/>
    <w:rsid w:val="33E217FD"/>
    <w:rsid w:val="33EBFCC6"/>
    <w:rsid w:val="33EEF21E"/>
    <w:rsid w:val="340DA953"/>
    <w:rsid w:val="3438AE6A"/>
    <w:rsid w:val="3441A9D2"/>
    <w:rsid w:val="345CF627"/>
    <w:rsid w:val="34631C63"/>
    <w:rsid w:val="346D66A1"/>
    <w:rsid w:val="346FEBEC"/>
    <w:rsid w:val="347885ED"/>
    <w:rsid w:val="34861B5E"/>
    <w:rsid w:val="34B4E2DB"/>
    <w:rsid w:val="34C236A6"/>
    <w:rsid w:val="34D6C501"/>
    <w:rsid w:val="34E90402"/>
    <w:rsid w:val="34F721AE"/>
    <w:rsid w:val="350D5E98"/>
    <w:rsid w:val="351EFFC4"/>
    <w:rsid w:val="352447A6"/>
    <w:rsid w:val="3525A3B9"/>
    <w:rsid w:val="3538BF48"/>
    <w:rsid w:val="355B5CB2"/>
    <w:rsid w:val="3570D0D4"/>
    <w:rsid w:val="35A272DA"/>
    <w:rsid w:val="35A28948"/>
    <w:rsid w:val="35C9AA12"/>
    <w:rsid w:val="35F593B3"/>
    <w:rsid w:val="365C0EC9"/>
    <w:rsid w:val="3661612C"/>
    <w:rsid w:val="36673FB1"/>
    <w:rsid w:val="36713A8F"/>
    <w:rsid w:val="367739FC"/>
    <w:rsid w:val="369186C5"/>
    <w:rsid w:val="369957A5"/>
    <w:rsid w:val="369F7C10"/>
    <w:rsid w:val="36C93DDD"/>
    <w:rsid w:val="36E10479"/>
    <w:rsid w:val="3710E1B1"/>
    <w:rsid w:val="3727A53E"/>
    <w:rsid w:val="372AC0C5"/>
    <w:rsid w:val="373A373E"/>
    <w:rsid w:val="3752BC3A"/>
    <w:rsid w:val="3755505D"/>
    <w:rsid w:val="3761FE47"/>
    <w:rsid w:val="3768E881"/>
    <w:rsid w:val="37777269"/>
    <w:rsid w:val="377D9FA3"/>
    <w:rsid w:val="377F0BFA"/>
    <w:rsid w:val="3794425F"/>
    <w:rsid w:val="3796F4C9"/>
    <w:rsid w:val="37ACCCB0"/>
    <w:rsid w:val="37C3BF7A"/>
    <w:rsid w:val="37D98E5B"/>
    <w:rsid w:val="37DF93AD"/>
    <w:rsid w:val="37E6D215"/>
    <w:rsid w:val="3803B2C1"/>
    <w:rsid w:val="38208E01"/>
    <w:rsid w:val="385BAA7A"/>
    <w:rsid w:val="386B5DA9"/>
    <w:rsid w:val="388BF4DB"/>
    <w:rsid w:val="38D175F0"/>
    <w:rsid w:val="39166CDF"/>
    <w:rsid w:val="392F05A2"/>
    <w:rsid w:val="39714B79"/>
    <w:rsid w:val="398B53D5"/>
    <w:rsid w:val="39B2CD44"/>
    <w:rsid w:val="39CB6CD0"/>
    <w:rsid w:val="39E7857B"/>
    <w:rsid w:val="39FEC865"/>
    <w:rsid w:val="3A0BB466"/>
    <w:rsid w:val="3A1CD320"/>
    <w:rsid w:val="3A24C0A6"/>
    <w:rsid w:val="3A3CBA13"/>
    <w:rsid w:val="3A4EAB27"/>
    <w:rsid w:val="3A5410A2"/>
    <w:rsid w:val="3A59E81C"/>
    <w:rsid w:val="3A6E7287"/>
    <w:rsid w:val="3A7A825B"/>
    <w:rsid w:val="3A7E2E5B"/>
    <w:rsid w:val="3AA824AB"/>
    <w:rsid w:val="3AC3D35C"/>
    <w:rsid w:val="3AD6A51A"/>
    <w:rsid w:val="3ADB4664"/>
    <w:rsid w:val="3AE3E092"/>
    <w:rsid w:val="3AF5C51C"/>
    <w:rsid w:val="3B11A292"/>
    <w:rsid w:val="3B40C2F9"/>
    <w:rsid w:val="3B4FFD5C"/>
    <w:rsid w:val="3B67747E"/>
    <w:rsid w:val="3B7E915C"/>
    <w:rsid w:val="3B94C17A"/>
    <w:rsid w:val="3C0C46B9"/>
    <w:rsid w:val="3C32EB2E"/>
    <w:rsid w:val="3C3E637A"/>
    <w:rsid w:val="3C686BA4"/>
    <w:rsid w:val="3C77080D"/>
    <w:rsid w:val="3C8AD7E2"/>
    <w:rsid w:val="3CF50667"/>
    <w:rsid w:val="3CFB4775"/>
    <w:rsid w:val="3D01CEEC"/>
    <w:rsid w:val="3D5E1C6A"/>
    <w:rsid w:val="3DB38F4D"/>
    <w:rsid w:val="3DDB6D63"/>
    <w:rsid w:val="3DE032C0"/>
    <w:rsid w:val="3E0A8B70"/>
    <w:rsid w:val="3E27EC63"/>
    <w:rsid w:val="3E35EDF5"/>
    <w:rsid w:val="3E3959F2"/>
    <w:rsid w:val="3E3C5122"/>
    <w:rsid w:val="3E3FCBBA"/>
    <w:rsid w:val="3E54E9B8"/>
    <w:rsid w:val="3E72D7A9"/>
    <w:rsid w:val="3E873977"/>
    <w:rsid w:val="3E89F395"/>
    <w:rsid w:val="3E8C2B22"/>
    <w:rsid w:val="3EBD7637"/>
    <w:rsid w:val="3EC8FEB4"/>
    <w:rsid w:val="3EE21852"/>
    <w:rsid w:val="3EFB9660"/>
    <w:rsid w:val="3F06008F"/>
    <w:rsid w:val="3F2C7C72"/>
    <w:rsid w:val="3F427B09"/>
    <w:rsid w:val="3F6AC84A"/>
    <w:rsid w:val="3FA72FA3"/>
    <w:rsid w:val="3FCA158B"/>
    <w:rsid w:val="3FD0FE46"/>
    <w:rsid w:val="405C028B"/>
    <w:rsid w:val="40A57A6A"/>
    <w:rsid w:val="40A961C0"/>
    <w:rsid w:val="40D82FF8"/>
    <w:rsid w:val="4134E4E7"/>
    <w:rsid w:val="4166FFD9"/>
    <w:rsid w:val="41BE5FF0"/>
    <w:rsid w:val="41C90FC6"/>
    <w:rsid w:val="4206579B"/>
    <w:rsid w:val="4229E1E0"/>
    <w:rsid w:val="422D790E"/>
    <w:rsid w:val="4254B0B1"/>
    <w:rsid w:val="429BFA1A"/>
    <w:rsid w:val="429EEF72"/>
    <w:rsid w:val="42A3B4CF"/>
    <w:rsid w:val="42AFCD0D"/>
    <w:rsid w:val="42B928F1"/>
    <w:rsid w:val="42C23C72"/>
    <w:rsid w:val="42C667E6"/>
    <w:rsid w:val="433DEBD0"/>
    <w:rsid w:val="435CDBE0"/>
    <w:rsid w:val="43929497"/>
    <w:rsid w:val="43A0EB40"/>
    <w:rsid w:val="43B38809"/>
    <w:rsid w:val="43D16468"/>
    <w:rsid w:val="43D2D00E"/>
    <w:rsid w:val="43E327A9"/>
    <w:rsid w:val="43EA506B"/>
    <w:rsid w:val="440C882A"/>
    <w:rsid w:val="4411091A"/>
    <w:rsid w:val="442613A6"/>
    <w:rsid w:val="44568CE9"/>
    <w:rsid w:val="447B0668"/>
    <w:rsid w:val="44825C8A"/>
    <w:rsid w:val="44C75379"/>
    <w:rsid w:val="44DF4CE6"/>
    <w:rsid w:val="4514734D"/>
    <w:rsid w:val="452C7E56"/>
    <w:rsid w:val="4543615C"/>
    <w:rsid w:val="4559917A"/>
    <w:rsid w:val="456C6B7B"/>
    <w:rsid w:val="459101CD"/>
    <w:rsid w:val="45C68302"/>
    <w:rsid w:val="45C8227C"/>
    <w:rsid w:val="45D4AED7"/>
    <w:rsid w:val="45E2534F"/>
    <w:rsid w:val="45FB1789"/>
    <w:rsid w:val="46277B37"/>
    <w:rsid w:val="462FFE2B"/>
    <w:rsid w:val="466E912B"/>
    <w:rsid w:val="466FD5AE"/>
    <w:rsid w:val="46967941"/>
    <w:rsid w:val="47110ECD"/>
    <w:rsid w:val="472AE56A"/>
    <w:rsid w:val="4733685E"/>
    <w:rsid w:val="473FB6AE"/>
    <w:rsid w:val="4744AEDC"/>
    <w:rsid w:val="47489F44"/>
    <w:rsid w:val="4769C005"/>
    <w:rsid w:val="4787977B"/>
    <w:rsid w:val="47A081D0"/>
    <w:rsid w:val="47AA222C"/>
    <w:rsid w:val="480D09CF"/>
    <w:rsid w:val="4829F450"/>
    <w:rsid w:val="4875D547"/>
    <w:rsid w:val="487B6F71"/>
    <w:rsid w:val="48985579"/>
    <w:rsid w:val="489D4DA7"/>
    <w:rsid w:val="48B6A74A"/>
    <w:rsid w:val="48D87169"/>
    <w:rsid w:val="48DCF259"/>
    <w:rsid w:val="48ECB926"/>
    <w:rsid w:val="48FCC34E"/>
    <w:rsid w:val="49198D92"/>
    <w:rsid w:val="49203136"/>
    <w:rsid w:val="49203981"/>
    <w:rsid w:val="4929FF1B"/>
    <w:rsid w:val="4949EE9C"/>
    <w:rsid w:val="494B4ED1"/>
    <w:rsid w:val="49980215"/>
    <w:rsid w:val="49C00769"/>
    <w:rsid w:val="49E24D19"/>
    <w:rsid w:val="4A0F4A9B"/>
    <w:rsid w:val="4A2865A6"/>
    <w:rsid w:val="4A429A0A"/>
    <w:rsid w:val="4A4579FB"/>
    <w:rsid w:val="4A4A9F20"/>
    <w:rsid w:val="4A66B411"/>
    <w:rsid w:val="4A826B15"/>
    <w:rsid w:val="4AAF2024"/>
    <w:rsid w:val="4AC7AB8C"/>
    <w:rsid w:val="4AD83319"/>
    <w:rsid w:val="4AEEE1EB"/>
    <w:rsid w:val="4AF91B5A"/>
    <w:rsid w:val="4AFBC02C"/>
    <w:rsid w:val="4B2FB3E2"/>
    <w:rsid w:val="4B309536"/>
    <w:rsid w:val="4B5DCFF4"/>
    <w:rsid w:val="4B6D9368"/>
    <w:rsid w:val="4B7296CD"/>
    <w:rsid w:val="4BA26141"/>
    <w:rsid w:val="4BBF85AD"/>
    <w:rsid w:val="4C044481"/>
    <w:rsid w:val="4C75CDFF"/>
    <w:rsid w:val="4C767E22"/>
    <w:rsid w:val="4C80EEF3"/>
    <w:rsid w:val="4C85B690"/>
    <w:rsid w:val="4C8785CC"/>
    <w:rsid w:val="4C88F708"/>
    <w:rsid w:val="4CA3EB60"/>
    <w:rsid w:val="4CA5CB74"/>
    <w:rsid w:val="4CBD9DA3"/>
    <w:rsid w:val="4CC76F7A"/>
    <w:rsid w:val="4CD4EBCB"/>
    <w:rsid w:val="4CD5A8AC"/>
    <w:rsid w:val="4CE54A6A"/>
    <w:rsid w:val="4CFEFE39"/>
    <w:rsid w:val="4D0465A6"/>
    <w:rsid w:val="4D14024E"/>
    <w:rsid w:val="4D1E09CB"/>
    <w:rsid w:val="4D2BC8EA"/>
    <w:rsid w:val="4D316328"/>
    <w:rsid w:val="4D43DDEB"/>
    <w:rsid w:val="4D4A1B64"/>
    <w:rsid w:val="4D512482"/>
    <w:rsid w:val="4D513D79"/>
    <w:rsid w:val="4D5C29F4"/>
    <w:rsid w:val="4D60CF00"/>
    <w:rsid w:val="4D65F904"/>
    <w:rsid w:val="4D7718B9"/>
    <w:rsid w:val="4DA04EE9"/>
    <w:rsid w:val="4DA120E3"/>
    <w:rsid w:val="4DC12F14"/>
    <w:rsid w:val="4DD5D91A"/>
    <w:rsid w:val="4DDE8F3B"/>
    <w:rsid w:val="4DE8DA59"/>
    <w:rsid w:val="4DF3B329"/>
    <w:rsid w:val="4E32749A"/>
    <w:rsid w:val="4E4319CA"/>
    <w:rsid w:val="4E50BBD6"/>
    <w:rsid w:val="4E52679A"/>
    <w:rsid w:val="4E64DBF5"/>
    <w:rsid w:val="4E751B93"/>
    <w:rsid w:val="4E985133"/>
    <w:rsid w:val="4EAC6D09"/>
    <w:rsid w:val="4EB40584"/>
    <w:rsid w:val="4EC174CB"/>
    <w:rsid w:val="4ED96A8B"/>
    <w:rsid w:val="4F061B4E"/>
    <w:rsid w:val="4F8A8A04"/>
    <w:rsid w:val="4F8CBFAB"/>
    <w:rsid w:val="4FC11DBA"/>
    <w:rsid w:val="4FC2530E"/>
    <w:rsid w:val="4FC3BE1F"/>
    <w:rsid w:val="4FC7E60D"/>
    <w:rsid w:val="4FD997D7"/>
    <w:rsid w:val="4FE987A1"/>
    <w:rsid w:val="4FF4741C"/>
    <w:rsid w:val="500EC003"/>
    <w:rsid w:val="50152DB9"/>
    <w:rsid w:val="5024AB63"/>
    <w:rsid w:val="505ECD6E"/>
    <w:rsid w:val="506E5F4B"/>
    <w:rsid w:val="50783071"/>
    <w:rsid w:val="50D2B855"/>
    <w:rsid w:val="50D7892C"/>
    <w:rsid w:val="50DFE4E2"/>
    <w:rsid w:val="50F40AD0"/>
    <w:rsid w:val="510CE264"/>
    <w:rsid w:val="51133AA5"/>
    <w:rsid w:val="5131B5F2"/>
    <w:rsid w:val="5136D686"/>
    <w:rsid w:val="517E0303"/>
    <w:rsid w:val="51BFE00D"/>
    <w:rsid w:val="51CAE778"/>
    <w:rsid w:val="51DFEB8D"/>
    <w:rsid w:val="51F9FA5C"/>
    <w:rsid w:val="51FB4882"/>
    <w:rsid w:val="520ADABF"/>
    <w:rsid w:val="521D26B8"/>
    <w:rsid w:val="5225A132"/>
    <w:rsid w:val="52459F5E"/>
    <w:rsid w:val="52482164"/>
    <w:rsid w:val="5269A69A"/>
    <w:rsid w:val="5296F28C"/>
    <w:rsid w:val="529A8AB7"/>
    <w:rsid w:val="52A96710"/>
    <w:rsid w:val="52AF8F10"/>
    <w:rsid w:val="52B9CD62"/>
    <w:rsid w:val="52B9E304"/>
    <w:rsid w:val="52C7086E"/>
    <w:rsid w:val="52E007B4"/>
    <w:rsid w:val="52FC176C"/>
    <w:rsid w:val="53098F80"/>
    <w:rsid w:val="53107A99"/>
    <w:rsid w:val="5316BDBE"/>
    <w:rsid w:val="533FE07A"/>
    <w:rsid w:val="5344AAF9"/>
    <w:rsid w:val="53530910"/>
    <w:rsid w:val="535FF080"/>
    <w:rsid w:val="5362262A"/>
    <w:rsid w:val="53680D25"/>
    <w:rsid w:val="539AAF50"/>
    <w:rsid w:val="53A52C8C"/>
    <w:rsid w:val="53ACD143"/>
    <w:rsid w:val="53C4CAB0"/>
    <w:rsid w:val="53F50DD1"/>
    <w:rsid w:val="5411F5FE"/>
    <w:rsid w:val="5412A993"/>
    <w:rsid w:val="54473B15"/>
    <w:rsid w:val="54675C11"/>
    <w:rsid w:val="5467F6B4"/>
    <w:rsid w:val="547BC07B"/>
    <w:rsid w:val="54CD6A4D"/>
    <w:rsid w:val="54E6C4A1"/>
    <w:rsid w:val="54F4FF94"/>
    <w:rsid w:val="5514E687"/>
    <w:rsid w:val="551E6410"/>
    <w:rsid w:val="551EF04A"/>
    <w:rsid w:val="5549793F"/>
    <w:rsid w:val="5550CE52"/>
    <w:rsid w:val="55608B7F"/>
    <w:rsid w:val="55D18EC0"/>
    <w:rsid w:val="55D90C3E"/>
    <w:rsid w:val="55DED1FB"/>
    <w:rsid w:val="55EAF6AA"/>
    <w:rsid w:val="56026277"/>
    <w:rsid w:val="56028CF4"/>
    <w:rsid w:val="560A427F"/>
    <w:rsid w:val="560B8131"/>
    <w:rsid w:val="561CBDC7"/>
    <w:rsid w:val="561D8FC1"/>
    <w:rsid w:val="5654146B"/>
    <w:rsid w:val="5655975F"/>
    <w:rsid w:val="5661B4B6"/>
    <w:rsid w:val="5665C075"/>
    <w:rsid w:val="569E415C"/>
    <w:rsid w:val="56D8A377"/>
    <w:rsid w:val="56F8D3FB"/>
    <w:rsid w:val="56FC094B"/>
    <w:rsid w:val="5700E3EE"/>
    <w:rsid w:val="571C3AF0"/>
    <w:rsid w:val="5726CF33"/>
    <w:rsid w:val="5728B4A9"/>
    <w:rsid w:val="572AA536"/>
    <w:rsid w:val="572B5A72"/>
    <w:rsid w:val="575FF22B"/>
    <w:rsid w:val="576CA4F5"/>
    <w:rsid w:val="576DD2D6"/>
    <w:rsid w:val="577D5A6C"/>
    <w:rsid w:val="578C1004"/>
    <w:rsid w:val="578C1307"/>
    <w:rsid w:val="578FDFBD"/>
    <w:rsid w:val="579F287D"/>
    <w:rsid w:val="57A05871"/>
    <w:rsid w:val="57AC56B5"/>
    <w:rsid w:val="57B43C96"/>
    <w:rsid w:val="57CFBB60"/>
    <w:rsid w:val="57F694AB"/>
    <w:rsid w:val="5806F8E2"/>
    <w:rsid w:val="580BC9B9"/>
    <w:rsid w:val="58335490"/>
    <w:rsid w:val="583CBDC6"/>
    <w:rsid w:val="5851FEE9"/>
    <w:rsid w:val="586E45CC"/>
    <w:rsid w:val="587115CB"/>
    <w:rsid w:val="58713D09"/>
    <w:rsid w:val="58761794"/>
    <w:rsid w:val="58945FA4"/>
    <w:rsid w:val="58A11A41"/>
    <w:rsid w:val="58A3D416"/>
    <w:rsid w:val="58A62811"/>
    <w:rsid w:val="58A8AD5C"/>
    <w:rsid w:val="58B1148C"/>
    <w:rsid w:val="58B5EB85"/>
    <w:rsid w:val="58EE900F"/>
    <w:rsid w:val="58F49F4F"/>
    <w:rsid w:val="58FD938C"/>
    <w:rsid w:val="590E6869"/>
    <w:rsid w:val="599512AA"/>
    <w:rsid w:val="59998FFA"/>
    <w:rsid w:val="59B955B8"/>
    <w:rsid w:val="59DB2252"/>
    <w:rsid w:val="59DD04D0"/>
    <w:rsid w:val="59EB5781"/>
    <w:rsid w:val="5A087CD4"/>
    <w:rsid w:val="5A0A14ED"/>
    <w:rsid w:val="5A42548C"/>
    <w:rsid w:val="5A42CC58"/>
    <w:rsid w:val="5A529166"/>
    <w:rsid w:val="5A5A9AD9"/>
    <w:rsid w:val="5A7CD6CC"/>
    <w:rsid w:val="5A91B4B2"/>
    <w:rsid w:val="5AA11E89"/>
    <w:rsid w:val="5AC45306"/>
    <w:rsid w:val="5ACE7633"/>
    <w:rsid w:val="5ADE8C85"/>
    <w:rsid w:val="5AF1C095"/>
    <w:rsid w:val="5AFEE2B7"/>
    <w:rsid w:val="5B02E3F8"/>
    <w:rsid w:val="5B3684B3"/>
    <w:rsid w:val="5B5A8E25"/>
    <w:rsid w:val="5B8FA9A2"/>
    <w:rsid w:val="5BA326E7"/>
    <w:rsid w:val="5BB00108"/>
    <w:rsid w:val="5BD448C5"/>
    <w:rsid w:val="5BD8238B"/>
    <w:rsid w:val="5BE219D6"/>
    <w:rsid w:val="5BF2029F"/>
    <w:rsid w:val="5BF4F7F7"/>
    <w:rsid w:val="5C09FC0C"/>
    <w:rsid w:val="5C118AE2"/>
    <w:rsid w:val="5C193FB4"/>
    <w:rsid w:val="5C22284A"/>
    <w:rsid w:val="5C5DA7EC"/>
    <w:rsid w:val="5C699C55"/>
    <w:rsid w:val="5C886624"/>
    <w:rsid w:val="5C9696CF"/>
    <w:rsid w:val="5C99A0CB"/>
    <w:rsid w:val="5C9E29EA"/>
    <w:rsid w:val="5CA58548"/>
    <w:rsid w:val="5CAB5677"/>
    <w:rsid w:val="5CAE903C"/>
    <w:rsid w:val="5CB7CFD1"/>
    <w:rsid w:val="5CDBC1BB"/>
    <w:rsid w:val="5CE320D9"/>
    <w:rsid w:val="5CEBF710"/>
    <w:rsid w:val="5CEDE0CE"/>
    <w:rsid w:val="5D00594D"/>
    <w:rsid w:val="5D0D663F"/>
    <w:rsid w:val="5D54E279"/>
    <w:rsid w:val="5D551FB5"/>
    <w:rsid w:val="5D5A17E3"/>
    <w:rsid w:val="5D8485DC"/>
    <w:rsid w:val="5D96263C"/>
    <w:rsid w:val="5DABFE23"/>
    <w:rsid w:val="5DC2C9E9"/>
    <w:rsid w:val="5DE0F299"/>
    <w:rsid w:val="5E134B04"/>
    <w:rsid w:val="5E1B1072"/>
    <w:rsid w:val="5E21CDDD"/>
    <w:rsid w:val="5E3F8CC0"/>
    <w:rsid w:val="5E47DB23"/>
    <w:rsid w:val="5E792779"/>
    <w:rsid w:val="5EB4ED64"/>
    <w:rsid w:val="5ED2063D"/>
    <w:rsid w:val="5F143AA5"/>
    <w:rsid w:val="5F3BF786"/>
    <w:rsid w:val="5F6C1D31"/>
    <w:rsid w:val="5F8DB6FA"/>
    <w:rsid w:val="5F9D68D2"/>
    <w:rsid w:val="5FA405CD"/>
    <w:rsid w:val="5FEA1A76"/>
    <w:rsid w:val="5FFF789A"/>
    <w:rsid w:val="60140523"/>
    <w:rsid w:val="60471C6E"/>
    <w:rsid w:val="6066A8F6"/>
    <w:rsid w:val="60A3958C"/>
    <w:rsid w:val="60A8B4F8"/>
    <w:rsid w:val="60C0A3FA"/>
    <w:rsid w:val="6105A554"/>
    <w:rsid w:val="61318EBF"/>
    <w:rsid w:val="613248C7"/>
    <w:rsid w:val="6162800E"/>
    <w:rsid w:val="619E21BA"/>
    <w:rsid w:val="61B6051C"/>
    <w:rsid w:val="61C3F15A"/>
    <w:rsid w:val="6206EE5D"/>
    <w:rsid w:val="6215C26A"/>
    <w:rsid w:val="621BF8ED"/>
    <w:rsid w:val="623059D6"/>
    <w:rsid w:val="62620F7B"/>
    <w:rsid w:val="627628F9"/>
    <w:rsid w:val="6298A082"/>
    <w:rsid w:val="63229810"/>
    <w:rsid w:val="6327C7B5"/>
    <w:rsid w:val="632DFDE1"/>
    <w:rsid w:val="633312E2"/>
    <w:rsid w:val="633B2112"/>
    <w:rsid w:val="63496D81"/>
    <w:rsid w:val="6363279A"/>
    <w:rsid w:val="638E87A4"/>
    <w:rsid w:val="63AA3DCC"/>
    <w:rsid w:val="63AADECD"/>
    <w:rsid w:val="63AE1892"/>
    <w:rsid w:val="63B2F391"/>
    <w:rsid w:val="63B7B8EE"/>
    <w:rsid w:val="63C06639"/>
    <w:rsid w:val="63E023E4"/>
    <w:rsid w:val="64269279"/>
    <w:rsid w:val="642C6FE6"/>
    <w:rsid w:val="6444B9AD"/>
    <w:rsid w:val="645A4706"/>
    <w:rsid w:val="646C14C5"/>
    <w:rsid w:val="646C8BD6"/>
    <w:rsid w:val="646DA93E"/>
    <w:rsid w:val="6493AAC1"/>
    <w:rsid w:val="649B639E"/>
    <w:rsid w:val="64CA0AB5"/>
    <w:rsid w:val="64E24F97"/>
    <w:rsid w:val="65064ACE"/>
    <w:rsid w:val="6507D4C5"/>
    <w:rsid w:val="651305AD"/>
    <w:rsid w:val="6522F125"/>
    <w:rsid w:val="652A5805"/>
    <w:rsid w:val="6533BFFA"/>
    <w:rsid w:val="6534D247"/>
    <w:rsid w:val="655CD798"/>
    <w:rsid w:val="65843DC6"/>
    <w:rsid w:val="65A3F579"/>
    <w:rsid w:val="65A9BE35"/>
    <w:rsid w:val="65B5D78F"/>
    <w:rsid w:val="65B825C3"/>
    <w:rsid w:val="65D1B59D"/>
    <w:rsid w:val="65DF7B11"/>
    <w:rsid w:val="65F5CAD6"/>
    <w:rsid w:val="6635FC68"/>
    <w:rsid w:val="663809A9"/>
    <w:rsid w:val="663BAFA6"/>
    <w:rsid w:val="663E4DF2"/>
    <w:rsid w:val="663EE306"/>
    <w:rsid w:val="6649E540"/>
    <w:rsid w:val="6672CF81"/>
    <w:rsid w:val="668AE298"/>
    <w:rsid w:val="66A02AED"/>
    <w:rsid w:val="66A4ABDD"/>
    <w:rsid w:val="66A538BD"/>
    <w:rsid w:val="66B39B54"/>
    <w:rsid w:val="66CF905B"/>
    <w:rsid w:val="66D2536E"/>
    <w:rsid w:val="66D8D201"/>
    <w:rsid w:val="670940F0"/>
    <w:rsid w:val="67237A6F"/>
    <w:rsid w:val="674C08FF"/>
    <w:rsid w:val="676324E9"/>
    <w:rsid w:val="6775785C"/>
    <w:rsid w:val="67920D30"/>
    <w:rsid w:val="67A4B288"/>
    <w:rsid w:val="67CFA1BA"/>
    <w:rsid w:val="67D01B64"/>
    <w:rsid w:val="67E976A6"/>
    <w:rsid w:val="67F4B1B6"/>
    <w:rsid w:val="67F9E720"/>
    <w:rsid w:val="67FE9979"/>
    <w:rsid w:val="680AEF8B"/>
    <w:rsid w:val="682BB8D5"/>
    <w:rsid w:val="682BC846"/>
    <w:rsid w:val="684C0140"/>
    <w:rsid w:val="685E2D9E"/>
    <w:rsid w:val="6896D63D"/>
    <w:rsid w:val="68B324FA"/>
    <w:rsid w:val="68C38B4C"/>
    <w:rsid w:val="69346956"/>
    <w:rsid w:val="69499E64"/>
    <w:rsid w:val="69904006"/>
    <w:rsid w:val="6998F271"/>
    <w:rsid w:val="69BE882D"/>
    <w:rsid w:val="69E9D451"/>
    <w:rsid w:val="69F805C1"/>
    <w:rsid w:val="6A07311D"/>
    <w:rsid w:val="6A1BB3E8"/>
    <w:rsid w:val="6A3F289C"/>
    <w:rsid w:val="6A580B20"/>
    <w:rsid w:val="6A91CCB5"/>
    <w:rsid w:val="6AA27000"/>
    <w:rsid w:val="6AB24916"/>
    <w:rsid w:val="6AD9AD82"/>
    <w:rsid w:val="6AFEBD7E"/>
    <w:rsid w:val="6B0A5701"/>
    <w:rsid w:val="6B6A42A0"/>
    <w:rsid w:val="6B94A846"/>
    <w:rsid w:val="6BA3017E"/>
    <w:rsid w:val="6BAA6CBF"/>
    <w:rsid w:val="6BCD9714"/>
    <w:rsid w:val="6BF5FA12"/>
    <w:rsid w:val="6BF97728"/>
    <w:rsid w:val="6C02880B"/>
    <w:rsid w:val="6C0AEBC4"/>
    <w:rsid w:val="6C2F0860"/>
    <w:rsid w:val="6C39C438"/>
    <w:rsid w:val="6C3CB6AF"/>
    <w:rsid w:val="6C6F7E5F"/>
    <w:rsid w:val="6C7BA406"/>
    <w:rsid w:val="6C8D5C7C"/>
    <w:rsid w:val="6CA6B4DD"/>
    <w:rsid w:val="6CC847C8"/>
    <w:rsid w:val="6D061301"/>
    <w:rsid w:val="6D11E2CE"/>
    <w:rsid w:val="6D327293"/>
    <w:rsid w:val="6D346320"/>
    <w:rsid w:val="6D3EA0E7"/>
    <w:rsid w:val="6D42C2E7"/>
    <w:rsid w:val="6D5CCB43"/>
    <w:rsid w:val="6DBEF054"/>
    <w:rsid w:val="6DDD7711"/>
    <w:rsid w:val="6E01248F"/>
    <w:rsid w:val="6E093953"/>
    <w:rsid w:val="6E138210"/>
    <w:rsid w:val="6E46C660"/>
    <w:rsid w:val="6E488505"/>
    <w:rsid w:val="6E4DD633"/>
    <w:rsid w:val="6EC04E99"/>
    <w:rsid w:val="6EC9737A"/>
    <w:rsid w:val="6F04A05E"/>
    <w:rsid w:val="6F08E5EF"/>
    <w:rsid w:val="6F5C18B5"/>
    <w:rsid w:val="6F98917C"/>
    <w:rsid w:val="6FC4FD3E"/>
    <w:rsid w:val="6FDB0D0F"/>
    <w:rsid w:val="6FECC357"/>
    <w:rsid w:val="6FED5AB6"/>
    <w:rsid w:val="700FB3AA"/>
    <w:rsid w:val="7016CB81"/>
    <w:rsid w:val="7018EF62"/>
    <w:rsid w:val="702511CE"/>
    <w:rsid w:val="703DB3C3"/>
    <w:rsid w:val="703EE323"/>
    <w:rsid w:val="70451475"/>
    <w:rsid w:val="70519011"/>
    <w:rsid w:val="70567BAD"/>
    <w:rsid w:val="705B2B54"/>
    <w:rsid w:val="7087896B"/>
    <w:rsid w:val="709AC106"/>
    <w:rsid w:val="709B729C"/>
    <w:rsid w:val="709C316B"/>
    <w:rsid w:val="70AD6E01"/>
    <w:rsid w:val="70AF3963"/>
    <w:rsid w:val="70CF6166"/>
    <w:rsid w:val="70D05102"/>
    <w:rsid w:val="70D3465A"/>
    <w:rsid w:val="70E4D963"/>
    <w:rsid w:val="70F42849"/>
    <w:rsid w:val="710DD046"/>
    <w:rsid w:val="7115D55A"/>
    <w:rsid w:val="71269423"/>
    <w:rsid w:val="7129E3A5"/>
    <w:rsid w:val="71378CD8"/>
    <w:rsid w:val="7139E9D6"/>
    <w:rsid w:val="713FE88E"/>
    <w:rsid w:val="7140429D"/>
    <w:rsid w:val="716D52C5"/>
    <w:rsid w:val="7179C031"/>
    <w:rsid w:val="7191B99E"/>
    <w:rsid w:val="71A68BF1"/>
    <w:rsid w:val="71B9BEF2"/>
    <w:rsid w:val="71E16A37"/>
    <w:rsid w:val="720EAC26"/>
    <w:rsid w:val="724A3DC9"/>
    <w:rsid w:val="7285CB96"/>
    <w:rsid w:val="728849B0"/>
    <w:rsid w:val="72A19F52"/>
    <w:rsid w:val="72A56289"/>
    <w:rsid w:val="72B4DDA5"/>
    <w:rsid w:val="72CD2716"/>
    <w:rsid w:val="72E27785"/>
    <w:rsid w:val="72EDCFAB"/>
    <w:rsid w:val="72EE86AD"/>
    <w:rsid w:val="730BA300"/>
    <w:rsid w:val="731EDEDE"/>
    <w:rsid w:val="7323212A"/>
    <w:rsid w:val="734219BA"/>
    <w:rsid w:val="7343269B"/>
    <w:rsid w:val="735CB7EF"/>
    <w:rsid w:val="736A34B8"/>
    <w:rsid w:val="7376C16A"/>
    <w:rsid w:val="7387EAB9"/>
    <w:rsid w:val="739F2E04"/>
    <w:rsid w:val="739FE426"/>
    <w:rsid w:val="73D832B6"/>
    <w:rsid w:val="73E1E5BD"/>
    <w:rsid w:val="73FF6173"/>
    <w:rsid w:val="7400380A"/>
    <w:rsid w:val="7403F89C"/>
    <w:rsid w:val="74055776"/>
    <w:rsid w:val="7449F456"/>
    <w:rsid w:val="7451990D"/>
    <w:rsid w:val="7460E8F8"/>
    <w:rsid w:val="747F4604"/>
    <w:rsid w:val="7499BF3D"/>
    <w:rsid w:val="74A6F64E"/>
    <w:rsid w:val="74D37C92"/>
    <w:rsid w:val="74D6A4E8"/>
    <w:rsid w:val="74D73E32"/>
    <w:rsid w:val="74F06E2D"/>
    <w:rsid w:val="74F0956B"/>
    <w:rsid w:val="7513D9EC"/>
    <w:rsid w:val="751F8D35"/>
    <w:rsid w:val="7532E702"/>
    <w:rsid w:val="75681AAA"/>
    <w:rsid w:val="7589BB77"/>
    <w:rsid w:val="758F92F1"/>
    <w:rsid w:val="759FD8BA"/>
    <w:rsid w:val="75AF08AF"/>
    <w:rsid w:val="75E42688"/>
    <w:rsid w:val="7602FAB9"/>
    <w:rsid w:val="7616765B"/>
    <w:rsid w:val="7625971F"/>
    <w:rsid w:val="7626E7E4"/>
    <w:rsid w:val="7636C496"/>
    <w:rsid w:val="7645A970"/>
    <w:rsid w:val="765DA2DD"/>
    <w:rsid w:val="7668D3C5"/>
    <w:rsid w:val="76BF26D4"/>
    <w:rsid w:val="76C1B862"/>
    <w:rsid w:val="76C1E95B"/>
    <w:rsid w:val="76C94DC7"/>
    <w:rsid w:val="76DB276C"/>
    <w:rsid w:val="76F769D1"/>
    <w:rsid w:val="77145B6C"/>
    <w:rsid w:val="771DBF6B"/>
    <w:rsid w:val="772C04CC"/>
    <w:rsid w:val="775069C5"/>
    <w:rsid w:val="776C3DF8"/>
    <w:rsid w:val="77714BC8"/>
    <w:rsid w:val="7773D113"/>
    <w:rsid w:val="77A7FC6A"/>
    <w:rsid w:val="77BD5A8E"/>
    <w:rsid w:val="77D45C9A"/>
    <w:rsid w:val="77DF306C"/>
    <w:rsid w:val="77E63F7B"/>
    <w:rsid w:val="77F5C52E"/>
    <w:rsid w:val="77FC428B"/>
    <w:rsid w:val="78153616"/>
    <w:rsid w:val="783F8280"/>
    <w:rsid w:val="786F8A91"/>
    <w:rsid w:val="78887F86"/>
    <w:rsid w:val="7893C73F"/>
    <w:rsid w:val="78A2E459"/>
    <w:rsid w:val="78BFA7AF"/>
    <w:rsid w:val="78D8314E"/>
    <w:rsid w:val="78D8BE2E"/>
    <w:rsid w:val="78EFDDFA"/>
    <w:rsid w:val="78FDF5C4"/>
    <w:rsid w:val="78FE0B66"/>
    <w:rsid w:val="79030394"/>
    <w:rsid w:val="7947FA83"/>
    <w:rsid w:val="7952B727"/>
    <w:rsid w:val="7953CEEB"/>
    <w:rsid w:val="79673E98"/>
    <w:rsid w:val="7977BA8C"/>
    <w:rsid w:val="7977ED5D"/>
    <w:rsid w:val="797C3E9D"/>
    <w:rsid w:val="79A4EADF"/>
    <w:rsid w:val="79B7D67C"/>
    <w:rsid w:val="79D0652A"/>
    <w:rsid w:val="7A0E287C"/>
    <w:rsid w:val="7A1C1D6B"/>
    <w:rsid w:val="7A3B25FE"/>
    <w:rsid w:val="7A54B7E1"/>
    <w:rsid w:val="7A55A4B6"/>
    <w:rsid w:val="7A7CBB3D"/>
    <w:rsid w:val="7A84E0B5"/>
    <w:rsid w:val="7A8DBB9B"/>
    <w:rsid w:val="7AA2D004"/>
    <w:rsid w:val="7AA7E505"/>
    <w:rsid w:val="7ABD1CCD"/>
    <w:rsid w:val="7ADCDA78"/>
    <w:rsid w:val="7ADEBD83"/>
    <w:rsid w:val="7AFE8705"/>
    <w:rsid w:val="7B0485BD"/>
    <w:rsid w:val="7B074871"/>
    <w:rsid w:val="7B0A0060"/>
    <w:rsid w:val="7B2E94AA"/>
    <w:rsid w:val="7B396532"/>
    <w:rsid w:val="7B48AAB2"/>
    <w:rsid w:val="7B5B4490"/>
    <w:rsid w:val="7B69AE7A"/>
    <w:rsid w:val="7B75D92D"/>
    <w:rsid w:val="7B8B840B"/>
    <w:rsid w:val="7B94F6B4"/>
    <w:rsid w:val="7B961852"/>
    <w:rsid w:val="7BA4AC68"/>
    <w:rsid w:val="7BAE59C0"/>
    <w:rsid w:val="7BDB253F"/>
    <w:rsid w:val="7BDB4C7D"/>
    <w:rsid w:val="7BE0AFCA"/>
    <w:rsid w:val="7C08018C"/>
    <w:rsid w:val="7C1C5304"/>
    <w:rsid w:val="7C382737"/>
    <w:rsid w:val="7C549D74"/>
    <w:rsid w:val="7C69FFB8"/>
    <w:rsid w:val="7C939F1B"/>
    <w:rsid w:val="7C971A69"/>
    <w:rsid w:val="7C999883"/>
    <w:rsid w:val="7CADFB97"/>
    <w:rsid w:val="7CB3AD4C"/>
    <w:rsid w:val="7CBA12E3"/>
    <w:rsid w:val="7CC8CE36"/>
    <w:rsid w:val="7CDFCBBA"/>
    <w:rsid w:val="7CECC7B1"/>
    <w:rsid w:val="7CF69A7B"/>
    <w:rsid w:val="7D10798F"/>
    <w:rsid w:val="7D115316"/>
    <w:rsid w:val="7D11DAEB"/>
    <w:rsid w:val="7D26E08A"/>
    <w:rsid w:val="7D2C2084"/>
    <w:rsid w:val="7D3EFB9A"/>
    <w:rsid w:val="7D437D69"/>
    <w:rsid w:val="7D4D3AF4"/>
    <w:rsid w:val="7D7BE0AF"/>
    <w:rsid w:val="7D9251F6"/>
    <w:rsid w:val="7DAD3C06"/>
    <w:rsid w:val="7DAF2F28"/>
    <w:rsid w:val="7DB6C0DC"/>
    <w:rsid w:val="7E062A55"/>
    <w:rsid w:val="7E1D2DEE"/>
    <w:rsid w:val="7E70473E"/>
    <w:rsid w:val="7E735969"/>
    <w:rsid w:val="7E75997B"/>
    <w:rsid w:val="7E85A562"/>
    <w:rsid w:val="7EB72EBA"/>
    <w:rsid w:val="7EC324CD"/>
    <w:rsid w:val="7F02170F"/>
    <w:rsid w:val="7F33C435"/>
    <w:rsid w:val="7F3A33DD"/>
    <w:rsid w:val="7F3B95B2"/>
    <w:rsid w:val="7F4232FF"/>
    <w:rsid w:val="7F535C4E"/>
    <w:rsid w:val="7F6951EA"/>
    <w:rsid w:val="7F999E4D"/>
    <w:rsid w:val="7FCF6A31"/>
    <w:rsid w:val="7FD331B0"/>
    <w:rsid w:val="7FEDBAA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A05AD"/>
  <w15:chartTrackingRefBased/>
  <w15:docId w15:val="{D7065942-78A5-46D1-93BD-1EAEE83C9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BA2D76"/>
    <w:pPr>
      <w:suppressAutoHyphens/>
      <w:autoSpaceDE w:val="0"/>
      <w:autoSpaceDN w:val="0"/>
      <w:adjustRightInd w:val="0"/>
      <w:spacing w:after="0" w:line="288" w:lineRule="auto"/>
      <w:textAlignment w:val="center"/>
    </w:pPr>
    <w:rPr>
      <w:rFonts w:ascii="Calibri" w:hAnsi="Calibri" w:cs="Calibri"/>
      <w:color w:val="000000"/>
      <w:sz w:val="24"/>
      <w:szCs w:val="24"/>
    </w:rPr>
  </w:style>
  <w:style w:type="paragraph" w:customStyle="1" w:styleId="TOC">
    <w:name w:val="TOC"/>
    <w:basedOn w:val="Normal"/>
    <w:uiPriority w:val="99"/>
    <w:rsid w:val="00BA2D76"/>
    <w:pPr>
      <w:autoSpaceDE w:val="0"/>
      <w:autoSpaceDN w:val="0"/>
      <w:adjustRightInd w:val="0"/>
      <w:spacing w:after="0" w:line="288" w:lineRule="auto"/>
      <w:textAlignment w:val="center"/>
    </w:pPr>
    <w:rPr>
      <w:rFonts w:ascii="Calibri" w:hAnsi="Calibri" w:cs="Calibri"/>
      <w:b/>
      <w:bCs/>
      <w:color w:val="000000"/>
      <w:sz w:val="32"/>
      <w:szCs w:val="32"/>
    </w:rPr>
  </w:style>
  <w:style w:type="character" w:styleId="Mention">
    <w:name w:val="Mention"/>
    <w:basedOn w:val="DefaultParagraphFont"/>
    <w:uiPriority w:val="99"/>
    <w:unhideWhenUsed/>
    <w:rsid w:val="00033AE4"/>
    <w:rPr>
      <w:color w:val="2B579A"/>
      <w:shd w:val="clear" w:color="auto" w:fill="E1DFDD"/>
    </w:rPr>
  </w:style>
  <w:style w:type="character" w:styleId="Hyperlink">
    <w:name w:val="Hyperlink"/>
    <w:basedOn w:val="DefaultParagraphFont"/>
    <w:uiPriority w:val="99"/>
    <w:rsid w:val="00BA2D76"/>
    <w:rPr>
      <w:rFonts w:ascii="Calibri" w:hAnsi="Calibri" w:cs="Calibri"/>
      <w:color w:val="F5AD2A"/>
      <w:u w:val="thick"/>
    </w:rPr>
  </w:style>
  <w:style w:type="character" w:customStyle="1" w:styleId="Footnote">
    <w:name w:val="Footnote"/>
    <w:uiPriority w:val="99"/>
    <w:rsid w:val="00BA2D76"/>
    <w:rPr>
      <w:rFonts w:ascii="Calibri" w:hAnsi="Calibri" w:cs="Calibri"/>
      <w:sz w:val="20"/>
      <w:szCs w:val="20"/>
    </w:rPr>
  </w:style>
  <w:style w:type="paragraph" w:customStyle="1" w:styleId="NoParagraphStyle">
    <w:name w:val="[No Paragraph Style]"/>
    <w:rsid w:val="00BA2D76"/>
    <w:pPr>
      <w:autoSpaceDE w:val="0"/>
      <w:autoSpaceDN w:val="0"/>
      <w:adjustRightInd w:val="0"/>
      <w:spacing w:after="0" w:line="288" w:lineRule="auto"/>
      <w:textAlignment w:val="center"/>
    </w:pPr>
    <w:rPr>
      <w:rFonts w:ascii="Calibri" w:hAnsi="Calibri" w:cs="Calibri"/>
      <w:color w:val="000000"/>
      <w:sz w:val="24"/>
      <w:szCs w:val="24"/>
    </w:rPr>
  </w:style>
  <w:style w:type="paragraph" w:customStyle="1" w:styleId="Tables">
    <w:name w:val="Tables"/>
    <w:basedOn w:val="Normal"/>
    <w:uiPriority w:val="99"/>
    <w:rsid w:val="00BA2D76"/>
    <w:pPr>
      <w:suppressAutoHyphens/>
      <w:autoSpaceDE w:val="0"/>
      <w:autoSpaceDN w:val="0"/>
      <w:adjustRightInd w:val="0"/>
      <w:spacing w:after="0" w:line="288" w:lineRule="auto"/>
      <w:textAlignment w:val="center"/>
    </w:pPr>
    <w:rPr>
      <w:rFonts w:ascii="Calibri" w:hAnsi="Calibri" w:cs="Calibri"/>
      <w:color w:val="000000"/>
      <w:sz w:val="24"/>
      <w:szCs w:val="24"/>
    </w:rPr>
  </w:style>
  <w:style w:type="paragraph" w:customStyle="1" w:styleId="Source">
    <w:name w:val="Source"/>
    <w:basedOn w:val="Normal"/>
    <w:uiPriority w:val="99"/>
    <w:rsid w:val="00BA2D76"/>
    <w:pPr>
      <w:suppressAutoHyphens/>
      <w:autoSpaceDE w:val="0"/>
      <w:autoSpaceDN w:val="0"/>
      <w:adjustRightInd w:val="0"/>
      <w:spacing w:after="0" w:line="288" w:lineRule="auto"/>
      <w:textAlignment w:val="center"/>
    </w:pPr>
    <w:rPr>
      <w:rFonts w:ascii="Calibri" w:hAnsi="Calibri" w:cs="Calibri"/>
      <w:i/>
      <w:iCs/>
      <w:color w:val="000000"/>
      <w:sz w:val="20"/>
      <w:szCs w:val="20"/>
    </w:rPr>
  </w:style>
  <w:style w:type="character" w:styleId="CommentReference">
    <w:name w:val="annotation reference"/>
    <w:basedOn w:val="DefaultParagraphFont"/>
    <w:uiPriority w:val="99"/>
    <w:semiHidden/>
    <w:unhideWhenUsed/>
    <w:rsid w:val="00C41E01"/>
    <w:rPr>
      <w:sz w:val="16"/>
      <w:szCs w:val="16"/>
    </w:rPr>
  </w:style>
  <w:style w:type="paragraph" w:styleId="CommentText">
    <w:name w:val="annotation text"/>
    <w:basedOn w:val="Normal"/>
    <w:link w:val="CommentTextChar"/>
    <w:uiPriority w:val="99"/>
    <w:unhideWhenUsed/>
    <w:rsid w:val="00C41E01"/>
    <w:pPr>
      <w:spacing w:line="240" w:lineRule="auto"/>
    </w:pPr>
    <w:rPr>
      <w:sz w:val="20"/>
      <w:szCs w:val="20"/>
    </w:rPr>
  </w:style>
  <w:style w:type="character" w:customStyle="1" w:styleId="CommentTextChar">
    <w:name w:val="Comment Text Char"/>
    <w:basedOn w:val="DefaultParagraphFont"/>
    <w:link w:val="CommentText"/>
    <w:uiPriority w:val="99"/>
    <w:rsid w:val="00C41E01"/>
    <w:rPr>
      <w:sz w:val="20"/>
      <w:szCs w:val="20"/>
    </w:rPr>
  </w:style>
  <w:style w:type="paragraph" w:styleId="CommentSubject">
    <w:name w:val="annotation subject"/>
    <w:basedOn w:val="CommentText"/>
    <w:next w:val="CommentText"/>
    <w:link w:val="CommentSubjectChar"/>
    <w:uiPriority w:val="99"/>
    <w:semiHidden/>
    <w:unhideWhenUsed/>
    <w:rsid w:val="00C41E01"/>
    <w:rPr>
      <w:b/>
      <w:bCs/>
    </w:rPr>
  </w:style>
  <w:style w:type="character" w:customStyle="1" w:styleId="CommentSubjectChar">
    <w:name w:val="Comment Subject Char"/>
    <w:basedOn w:val="CommentTextChar"/>
    <w:link w:val="CommentSubject"/>
    <w:uiPriority w:val="99"/>
    <w:semiHidden/>
    <w:rsid w:val="00C41E01"/>
    <w:rPr>
      <w:b/>
      <w:bCs/>
      <w:sz w:val="20"/>
      <w:szCs w:val="20"/>
    </w:rPr>
  </w:style>
  <w:style w:type="paragraph" w:styleId="Header">
    <w:name w:val="header"/>
    <w:basedOn w:val="Normal"/>
    <w:link w:val="HeaderChar"/>
    <w:uiPriority w:val="99"/>
    <w:semiHidden/>
    <w:unhideWhenUsed/>
    <w:rsid w:val="00FF2AC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F2AC8"/>
  </w:style>
  <w:style w:type="paragraph" w:styleId="Footer">
    <w:name w:val="footer"/>
    <w:basedOn w:val="Normal"/>
    <w:link w:val="FooterChar"/>
    <w:uiPriority w:val="99"/>
    <w:semiHidden/>
    <w:unhideWhenUsed/>
    <w:rsid w:val="00FF2AC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F2AC8"/>
  </w:style>
  <w:style w:type="paragraph" w:styleId="Revision">
    <w:name w:val="Revision"/>
    <w:hidden/>
    <w:uiPriority w:val="99"/>
    <w:semiHidden/>
    <w:rsid w:val="00114289"/>
    <w:pPr>
      <w:spacing w:after="0" w:line="240" w:lineRule="auto"/>
    </w:pPr>
  </w:style>
  <w:style w:type="character" w:customStyle="1" w:styleId="Heading31">
    <w:name w:val="Heading 31"/>
    <w:uiPriority w:val="99"/>
    <w:rsid w:val="00FC792E"/>
    <w:rPr>
      <w:rFonts w:ascii="Calibri" w:hAnsi="Calibri" w:cs="Calibri"/>
      <w:b/>
      <w:bCs/>
    </w:rPr>
  </w:style>
  <w:style w:type="character" w:styleId="UnresolvedMention">
    <w:name w:val="Unresolved Mention"/>
    <w:basedOn w:val="DefaultParagraphFont"/>
    <w:uiPriority w:val="99"/>
    <w:semiHidden/>
    <w:unhideWhenUsed/>
    <w:rsid w:val="00D97ED0"/>
    <w:rPr>
      <w:color w:val="605E5C"/>
      <w:shd w:val="clear" w:color="auto" w:fill="E1DFDD"/>
    </w:rPr>
  </w:style>
  <w:style w:type="character" w:styleId="FootnoteReference">
    <w:name w:val="footnote reference"/>
    <w:basedOn w:val="DefaultParagraphFont"/>
    <w:uiPriority w:val="99"/>
    <w:semiHidden/>
    <w:unhideWhenUsed/>
    <w:rsid w:val="006600D1"/>
    <w:rPr>
      <w:vertAlign w:val="superscript"/>
    </w:rPr>
  </w:style>
  <w:style w:type="character" w:customStyle="1" w:styleId="FootnoteTextChar">
    <w:name w:val="Footnote Text Char"/>
    <w:basedOn w:val="DefaultParagraphFont"/>
    <w:link w:val="FootnoteText"/>
    <w:uiPriority w:val="99"/>
    <w:semiHidden/>
    <w:rsid w:val="006600D1"/>
    <w:rPr>
      <w:sz w:val="20"/>
      <w:szCs w:val="20"/>
    </w:rPr>
  </w:style>
  <w:style w:type="paragraph" w:styleId="FootnoteText">
    <w:name w:val="footnote text"/>
    <w:basedOn w:val="Normal"/>
    <w:link w:val="FootnoteTextChar"/>
    <w:uiPriority w:val="99"/>
    <w:semiHidden/>
    <w:unhideWhenUsed/>
    <w:rsid w:val="006600D1"/>
    <w:pPr>
      <w:spacing w:after="0" w:line="240" w:lineRule="auto"/>
    </w:pPr>
    <w:rPr>
      <w:sz w:val="20"/>
      <w:szCs w:val="20"/>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050915">
      <w:bodyDiv w:val="1"/>
      <w:marLeft w:val="0"/>
      <w:marRight w:val="0"/>
      <w:marTop w:val="0"/>
      <w:marBottom w:val="0"/>
      <w:divBdr>
        <w:top w:val="none" w:sz="0" w:space="0" w:color="auto"/>
        <w:left w:val="none" w:sz="0" w:space="0" w:color="auto"/>
        <w:bottom w:val="none" w:sz="0" w:space="0" w:color="auto"/>
        <w:right w:val="none" w:sz="0" w:space="0" w:color="auto"/>
      </w:divBdr>
    </w:div>
    <w:div w:id="1038507537">
      <w:bodyDiv w:val="1"/>
      <w:marLeft w:val="0"/>
      <w:marRight w:val="0"/>
      <w:marTop w:val="0"/>
      <w:marBottom w:val="0"/>
      <w:divBdr>
        <w:top w:val="none" w:sz="0" w:space="0" w:color="auto"/>
        <w:left w:val="none" w:sz="0" w:space="0" w:color="auto"/>
        <w:bottom w:val="none" w:sz="0" w:space="0" w:color="auto"/>
        <w:right w:val="none" w:sz="0" w:space="0" w:color="auto"/>
      </w:divBdr>
    </w:div>
    <w:div w:id="1058934919">
      <w:bodyDiv w:val="1"/>
      <w:marLeft w:val="0"/>
      <w:marRight w:val="0"/>
      <w:marTop w:val="0"/>
      <w:marBottom w:val="0"/>
      <w:divBdr>
        <w:top w:val="none" w:sz="0" w:space="0" w:color="auto"/>
        <w:left w:val="none" w:sz="0" w:space="0" w:color="auto"/>
        <w:bottom w:val="none" w:sz="0" w:space="0" w:color="auto"/>
        <w:right w:val="none" w:sz="0" w:space="0" w:color="auto"/>
      </w:divBdr>
    </w:div>
    <w:div w:id="1672950284">
      <w:bodyDiv w:val="1"/>
      <w:marLeft w:val="0"/>
      <w:marRight w:val="0"/>
      <w:marTop w:val="0"/>
      <w:marBottom w:val="0"/>
      <w:divBdr>
        <w:top w:val="none" w:sz="0" w:space="0" w:color="auto"/>
        <w:left w:val="none" w:sz="0" w:space="0" w:color="auto"/>
        <w:bottom w:val="none" w:sz="0" w:space="0" w:color="auto"/>
        <w:right w:val="none" w:sz="0" w:space="0" w:color="auto"/>
      </w:divBdr>
    </w:div>
    <w:div w:id="1933664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8" Type="http://schemas.openxmlformats.org/officeDocument/2006/relationships/hyperlink" Target="http://vtrans.vermont.gov/sites/aot/files/planning/documents/planning/Existing%20Conditions%20%20Future%20Trends%206-7-17.pdf" TargetMode="External"/><Relationship Id="rId13" Type="http://schemas.openxmlformats.org/officeDocument/2006/relationships/hyperlink" Target="https://www.healthvermont.gov/health-environment/climate-health/climate-change" TargetMode="External"/><Relationship Id="rId3" Type="http://schemas.openxmlformats.org/officeDocument/2006/relationships/hyperlink" Target="http://dev.vtclimate.org/wp-content/uploads/2014/04/VCA2014_FullReport.pdf" TargetMode="External"/><Relationship Id="rId7" Type="http://schemas.openxmlformats.org/officeDocument/2006/relationships/hyperlink" Target="https://www.uvm.edu/sites/default/files/Center-for-Research-on-Vermont/docs/Survey_Summary_4-pages.pdf" TargetMode="External"/><Relationship Id="rId12" Type="http://schemas.openxmlformats.org/officeDocument/2006/relationships/hyperlink" Target="http://www.leg.state.vt.us/jfo/reports/2017%20BNB%20Report%20Revision_Feb_1.pdf" TargetMode="External"/><Relationship Id="rId2" Type="http://schemas.openxmlformats.org/officeDocument/2006/relationships/hyperlink" Target="https://nepis.epa.gov/Exe/ZyPDF.cgi?Dockey=P100SSN6.txt" TargetMode="External"/><Relationship Id="rId1" Type="http://schemas.openxmlformats.org/officeDocument/2006/relationships/hyperlink" Target="http://publicassets.org/wp-content/uploads/2022/07/MJB156.pdf" TargetMode="External"/><Relationship Id="rId6" Type="http://schemas.openxmlformats.org/officeDocument/2006/relationships/hyperlink" Target="https://www.vermontpublic.org/local-news/2022-08-24/long-known-for-its-dwindling-population-vermont-sees-a-recent-uptick-in-new-residents" TargetMode="External"/><Relationship Id="rId11" Type="http://schemas.openxmlformats.org/officeDocument/2006/relationships/hyperlink" Target="https://svi.cdc.gov/map.aspx" TargetMode="External"/><Relationship Id="rId5" Type="http://schemas.openxmlformats.org/officeDocument/2006/relationships/hyperlink" Target="https://outside.vermont.gov/agency/anr/climatecouncil/Shared%20Documents/Initial%20Climate%20Action%20Plan%20-%20Final%20-%2012-1-21.pdf" TargetMode="External"/><Relationship Id="rId15" Type="http://schemas.openxmlformats.org/officeDocument/2006/relationships/hyperlink" Target="https://climate.nasa.gov/effects/" TargetMode="External"/><Relationship Id="rId10" Type="http://schemas.openxmlformats.org/officeDocument/2006/relationships/hyperlink" Target="https://www.connectingcommuters.org/" TargetMode="External"/><Relationship Id="rId4" Type="http://schemas.openxmlformats.org/officeDocument/2006/relationships/hyperlink" Target="https://www.mynbc5.com/article/climate-migrants-come-to-vermont-and-the-adirondacks/43222337" TargetMode="External"/><Relationship Id="rId9" Type="http://schemas.openxmlformats.org/officeDocument/2006/relationships/hyperlink" Target="https://data.census.gov/table?q=vermont+transportstion&amp;tid=ACSDT5Y2021.B08141" TargetMode="External"/><Relationship Id="rId14" Type="http://schemas.openxmlformats.org/officeDocument/2006/relationships/hyperlink" Target="http://www.ipcc.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9F94E64AD113140B013E63E65925889" ma:contentTypeVersion="2" ma:contentTypeDescription="Create a new document." ma:contentTypeScope="" ma:versionID="03d98c4edf082edac74755f190ce0913">
  <xsd:schema xmlns:xsd="http://www.w3.org/2001/XMLSchema" xmlns:xs="http://www.w3.org/2001/XMLSchema" xmlns:p="http://schemas.microsoft.com/office/2006/metadata/properties" xmlns:ns2="5d36aa97-d431-4770-814e-850ed2de1e74" targetNamespace="http://schemas.microsoft.com/office/2006/metadata/properties" ma:root="true" ma:fieldsID="8d7aa279dc62847bcb1b15c4f6de2c08" ns2:_="">
    <xsd:import namespace="5d36aa97-d431-4770-814e-850ed2de1e7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36aa97-d431-4770-814e-850ed2de1e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13636C-2115-4BB0-9A13-97E693A0B5B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4802A40-D753-41E0-A16E-6EA07C186E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36aa97-d431-4770-814e-850ed2de1e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4008F3-FFA8-4E1A-A983-3D617A4F98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3145</TotalTime>
  <Pages>1</Pages>
  <Words>5662</Words>
  <Characters>32274</Characters>
  <Application>Microsoft Office Word</Application>
  <DocSecurity>4</DocSecurity>
  <Lines>268</Lines>
  <Paragraphs>75</Paragraphs>
  <ScaleCrop>false</ScaleCrop>
  <Company/>
  <LinksUpToDate>false</LinksUpToDate>
  <CharactersWithSpaces>37861</CharactersWithSpaces>
  <SharedDoc>false</SharedDoc>
  <HLinks>
    <vt:vector size="90" baseType="variant">
      <vt:variant>
        <vt:i4>4718666</vt:i4>
      </vt:variant>
      <vt:variant>
        <vt:i4>42</vt:i4>
      </vt:variant>
      <vt:variant>
        <vt:i4>0</vt:i4>
      </vt:variant>
      <vt:variant>
        <vt:i4>5</vt:i4>
      </vt:variant>
      <vt:variant>
        <vt:lpwstr>https://climate.nasa.gov/effects/</vt:lpwstr>
      </vt:variant>
      <vt:variant>
        <vt:lpwstr/>
      </vt:variant>
      <vt:variant>
        <vt:i4>6750240</vt:i4>
      </vt:variant>
      <vt:variant>
        <vt:i4>39</vt:i4>
      </vt:variant>
      <vt:variant>
        <vt:i4>0</vt:i4>
      </vt:variant>
      <vt:variant>
        <vt:i4>5</vt:i4>
      </vt:variant>
      <vt:variant>
        <vt:lpwstr>http://www.ipcc.ch/</vt:lpwstr>
      </vt:variant>
      <vt:variant>
        <vt:lpwstr/>
      </vt:variant>
      <vt:variant>
        <vt:i4>3735669</vt:i4>
      </vt:variant>
      <vt:variant>
        <vt:i4>36</vt:i4>
      </vt:variant>
      <vt:variant>
        <vt:i4>0</vt:i4>
      </vt:variant>
      <vt:variant>
        <vt:i4>5</vt:i4>
      </vt:variant>
      <vt:variant>
        <vt:lpwstr>https://www.healthvermont.gov/health-environment/climate-health/climate-change</vt:lpwstr>
      </vt:variant>
      <vt:variant>
        <vt:lpwstr/>
      </vt:variant>
      <vt:variant>
        <vt:i4>6160410</vt:i4>
      </vt:variant>
      <vt:variant>
        <vt:i4>33</vt:i4>
      </vt:variant>
      <vt:variant>
        <vt:i4>0</vt:i4>
      </vt:variant>
      <vt:variant>
        <vt:i4>5</vt:i4>
      </vt:variant>
      <vt:variant>
        <vt:lpwstr>http://www.leg.state.vt.us/jfo/reports/2017 BNB Report Revision_Feb_1.pdf</vt:lpwstr>
      </vt:variant>
      <vt:variant>
        <vt:lpwstr/>
      </vt:variant>
      <vt:variant>
        <vt:i4>458823</vt:i4>
      </vt:variant>
      <vt:variant>
        <vt:i4>30</vt:i4>
      </vt:variant>
      <vt:variant>
        <vt:i4>0</vt:i4>
      </vt:variant>
      <vt:variant>
        <vt:i4>5</vt:i4>
      </vt:variant>
      <vt:variant>
        <vt:lpwstr>https://svi.cdc.gov/map.aspx</vt:lpwstr>
      </vt:variant>
      <vt:variant>
        <vt:lpwstr/>
      </vt:variant>
      <vt:variant>
        <vt:i4>5439575</vt:i4>
      </vt:variant>
      <vt:variant>
        <vt:i4>27</vt:i4>
      </vt:variant>
      <vt:variant>
        <vt:i4>0</vt:i4>
      </vt:variant>
      <vt:variant>
        <vt:i4>5</vt:i4>
      </vt:variant>
      <vt:variant>
        <vt:lpwstr>https://www.connectingcommuters.org/</vt:lpwstr>
      </vt:variant>
      <vt:variant>
        <vt:lpwstr/>
      </vt:variant>
      <vt:variant>
        <vt:i4>5177374</vt:i4>
      </vt:variant>
      <vt:variant>
        <vt:i4>24</vt:i4>
      </vt:variant>
      <vt:variant>
        <vt:i4>0</vt:i4>
      </vt:variant>
      <vt:variant>
        <vt:i4>5</vt:i4>
      </vt:variant>
      <vt:variant>
        <vt:lpwstr>https://data.census.gov/table?q=vermont+transportstion&amp;tid=ACSDT5Y2021.B08141</vt:lpwstr>
      </vt:variant>
      <vt:variant>
        <vt:lpwstr/>
      </vt:variant>
      <vt:variant>
        <vt:i4>7405677</vt:i4>
      </vt:variant>
      <vt:variant>
        <vt:i4>21</vt:i4>
      </vt:variant>
      <vt:variant>
        <vt:i4>0</vt:i4>
      </vt:variant>
      <vt:variant>
        <vt:i4>5</vt:i4>
      </vt:variant>
      <vt:variant>
        <vt:lpwstr>http://vtrans.vermont.gov/sites/aot/files/planning/documents/planning/Existing Conditions  Future Trends 6-7-17.pdf</vt:lpwstr>
      </vt:variant>
      <vt:variant>
        <vt:lpwstr/>
      </vt:variant>
      <vt:variant>
        <vt:i4>2490401</vt:i4>
      </vt:variant>
      <vt:variant>
        <vt:i4>18</vt:i4>
      </vt:variant>
      <vt:variant>
        <vt:i4>0</vt:i4>
      </vt:variant>
      <vt:variant>
        <vt:i4>5</vt:i4>
      </vt:variant>
      <vt:variant>
        <vt:lpwstr>https://www.uvm.edu/sites/default/files/Center-for-Research-on-Vermont/docs/Survey_Summary_4-pages.pdf</vt:lpwstr>
      </vt:variant>
      <vt:variant>
        <vt:lpwstr/>
      </vt:variant>
      <vt:variant>
        <vt:i4>4653143</vt:i4>
      </vt:variant>
      <vt:variant>
        <vt:i4>15</vt:i4>
      </vt:variant>
      <vt:variant>
        <vt:i4>0</vt:i4>
      </vt:variant>
      <vt:variant>
        <vt:i4>5</vt:i4>
      </vt:variant>
      <vt:variant>
        <vt:lpwstr>https://www.vermontpublic.org/local-news/2022-08-24/long-known-for-its-dwindling-population-vermont-sees-a-recent-uptick-in-new-residents</vt:lpwstr>
      </vt:variant>
      <vt:variant>
        <vt:lpwstr/>
      </vt:variant>
      <vt:variant>
        <vt:i4>5701703</vt:i4>
      </vt:variant>
      <vt:variant>
        <vt:i4>12</vt:i4>
      </vt:variant>
      <vt:variant>
        <vt:i4>0</vt:i4>
      </vt:variant>
      <vt:variant>
        <vt:i4>5</vt:i4>
      </vt:variant>
      <vt:variant>
        <vt:lpwstr>https://outside.vermont.gov/agency/anr/climatecouncil/Shared Documents/Initial Climate Action Plan - Final - 12-1-21.pdf</vt:lpwstr>
      </vt:variant>
      <vt:variant>
        <vt:lpwstr/>
      </vt:variant>
      <vt:variant>
        <vt:i4>65563</vt:i4>
      </vt:variant>
      <vt:variant>
        <vt:i4>9</vt:i4>
      </vt:variant>
      <vt:variant>
        <vt:i4>0</vt:i4>
      </vt:variant>
      <vt:variant>
        <vt:i4>5</vt:i4>
      </vt:variant>
      <vt:variant>
        <vt:lpwstr>https://www.mynbc5.com/article/climate-migrants-come-to-vermont-and-the-adirondacks/43222337</vt:lpwstr>
      </vt:variant>
      <vt:variant>
        <vt:lpwstr/>
      </vt:variant>
      <vt:variant>
        <vt:i4>4718700</vt:i4>
      </vt:variant>
      <vt:variant>
        <vt:i4>6</vt:i4>
      </vt:variant>
      <vt:variant>
        <vt:i4>0</vt:i4>
      </vt:variant>
      <vt:variant>
        <vt:i4>5</vt:i4>
      </vt:variant>
      <vt:variant>
        <vt:lpwstr>http://dev.vtclimate.org/wp-content/uploads/2014/04/VCA2014_FullReport.pdf</vt:lpwstr>
      </vt:variant>
      <vt:variant>
        <vt:lpwstr/>
      </vt:variant>
      <vt:variant>
        <vt:i4>6750257</vt:i4>
      </vt:variant>
      <vt:variant>
        <vt:i4>3</vt:i4>
      </vt:variant>
      <vt:variant>
        <vt:i4>0</vt:i4>
      </vt:variant>
      <vt:variant>
        <vt:i4>5</vt:i4>
      </vt:variant>
      <vt:variant>
        <vt:lpwstr>https://nepis.epa.gov/Exe/ZyPDF.cgi?Dockey=P100SSN6.txt</vt:lpwstr>
      </vt:variant>
      <vt:variant>
        <vt:lpwstr/>
      </vt:variant>
      <vt:variant>
        <vt:i4>4849738</vt:i4>
      </vt:variant>
      <vt:variant>
        <vt:i4>0</vt:i4>
      </vt:variant>
      <vt:variant>
        <vt:i4>0</vt:i4>
      </vt:variant>
      <vt:variant>
        <vt:i4>5</vt:i4>
      </vt:variant>
      <vt:variant>
        <vt:lpwstr>http://publicassets.org/wp-content/uploads/2022/07/MJB156.pdf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Stephanie A</dc:creator>
  <cp:keywords/>
  <dc:description/>
  <cp:lastModifiedBy>Paske, Caroline</cp:lastModifiedBy>
  <cp:revision>588</cp:revision>
  <dcterms:created xsi:type="dcterms:W3CDTF">2018-11-09T00:41:00Z</dcterms:created>
  <dcterms:modified xsi:type="dcterms:W3CDTF">2023-07-27T15:02:00Z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0x01010059F94E64AD113140B013E63E65925889</vt:lpwstr>
  </property>
</Properties>
</file>